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63183">
      <w:pPr>
        <w:adjustRightInd w:val="0"/>
        <w:snapToGrid w:val="0"/>
        <w:spacing w:line="600" w:lineRule="exact"/>
        <w:jc w:val="center"/>
        <w:outlineLvl w:val="0"/>
        <w:rPr>
          <w:rFonts w:ascii="方正小标宋简体" w:hAnsi="方正小标宋简体" w:eastAsia="方正小标宋简体" w:cs="方正小标宋简体"/>
          <w:snapToGrid w:val="0"/>
          <w:sz w:val="44"/>
          <w:szCs w:val="44"/>
        </w:rPr>
      </w:pPr>
      <w:bookmarkStart w:id="0" w:name="_GoBack"/>
      <w:bookmarkEnd w:id="0"/>
    </w:p>
    <w:p w14:paraId="0508563F">
      <w:pPr>
        <w:pStyle w:val="2"/>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广西人力资源社会保障工作市、县两级权责清单规范化通用目录</w:t>
      </w:r>
    </w:p>
    <w:p w14:paraId="3B8FCBFA">
      <w:pPr>
        <w:pStyle w:val="2"/>
        <w:spacing w:line="600" w:lineRule="exact"/>
        <w:jc w:val="center"/>
        <w:rPr>
          <w:rFonts w:eastAsia="方正小标宋简体" w:cs="方正小标宋简体"/>
          <w:snapToGrid w:val="0"/>
          <w:sz w:val="44"/>
          <w:szCs w:val="44"/>
        </w:rPr>
      </w:pPr>
      <w:r>
        <w:rPr>
          <w:rFonts w:hint="eastAsia" w:ascii="方正小标宋_GBK" w:eastAsia="方正小标宋_GBK"/>
          <w:sz w:val="44"/>
          <w:szCs w:val="44"/>
        </w:rPr>
        <w:t>（</w:t>
      </w:r>
      <w:r>
        <w:rPr>
          <w:rFonts w:hint="eastAsia" w:ascii="方正小标宋_GBK" w:eastAsia="方正小标宋_GBK"/>
          <w:sz w:val="44"/>
          <w:szCs w:val="44"/>
          <w:lang w:val="en-US" w:eastAsia="zh-CN"/>
        </w:rPr>
        <w:t>2024</w:t>
      </w:r>
      <w:r>
        <w:rPr>
          <w:rFonts w:hint="eastAsia" w:ascii="方正小标宋_GBK" w:eastAsia="方正小标宋_GBK"/>
          <w:sz w:val="44"/>
          <w:szCs w:val="44"/>
        </w:rPr>
        <w:t>年</w:t>
      </w:r>
      <w:r>
        <w:rPr>
          <w:rFonts w:hint="eastAsia" w:ascii="方正小标宋_GBK" w:eastAsia="方正小标宋_GBK"/>
          <w:sz w:val="44"/>
          <w:szCs w:val="44"/>
          <w:lang w:eastAsia="zh-CN"/>
        </w:rPr>
        <w:t>版</w:t>
      </w:r>
      <w:r>
        <w:rPr>
          <w:rFonts w:hint="eastAsia" w:ascii="方正小标宋_GBK" w:eastAsia="方正小标宋_GBK"/>
          <w:sz w:val="44"/>
          <w:szCs w:val="44"/>
        </w:rPr>
        <w:t>）</w:t>
      </w:r>
    </w:p>
    <w:p w14:paraId="3D27ACD1">
      <w:pPr>
        <w:pStyle w:val="2"/>
        <w:jc w:val="center"/>
        <w:rPr>
          <w:rFonts w:ascii="楷体_GB2312" w:hAnsi="楷体_GB2312" w:eastAsia="楷体_GB2312" w:cs="楷体_GB2312"/>
          <w:color w:val="FFFFFF" w:themeColor="background1"/>
          <w:sz w:val="32"/>
          <w:szCs w:val="32"/>
          <w14:textFill>
            <w14:solidFill>
              <w14:schemeClr w14:val="bg1"/>
            </w14:solidFill>
          </w14:textFill>
        </w:rPr>
      </w:pPr>
      <w:r>
        <w:rPr>
          <w:rFonts w:hint="eastAsia" w:ascii="楷体_GB2312" w:hAnsi="楷体_GB2312" w:eastAsia="楷体_GB2312" w:cs="楷体_GB2312"/>
          <w:color w:val="auto"/>
          <w:sz w:val="32"/>
          <w:szCs w:val="32"/>
        </w:rPr>
        <w:t>（共</w:t>
      </w:r>
      <w:r>
        <w:rPr>
          <w:rFonts w:hint="eastAsia" w:ascii="楷体_GB2312" w:hAnsi="楷体_GB2312" w:eastAsia="楷体_GB2312" w:cs="楷体_GB2312"/>
          <w:color w:val="auto"/>
          <w:sz w:val="32"/>
          <w:szCs w:val="32"/>
          <w:lang w:val="en-US" w:eastAsia="zh-CN"/>
        </w:rPr>
        <w:t>84</w:t>
      </w:r>
      <w:r>
        <w:rPr>
          <w:rFonts w:hint="eastAsia" w:ascii="楷体_GB2312" w:hAnsi="楷体_GB2312" w:eastAsia="楷体_GB2312" w:cs="楷体_GB2312"/>
          <w:color w:val="auto"/>
          <w:sz w:val="32"/>
          <w:szCs w:val="32"/>
        </w:rPr>
        <w:t>项）</w:t>
      </w:r>
    </w:p>
    <w:tbl>
      <w:tblPr>
        <w:tblStyle w:val="10"/>
        <w:tblpPr w:leftFromText="180" w:rightFromText="180" w:vertAnchor="text" w:tblpXSpec="center" w:tblpY="1"/>
        <w:tblOverlap w:val="never"/>
        <w:tblW w:w="21886" w:type="dxa"/>
        <w:jc w:val="center"/>
        <w:tblLayout w:type="fixed"/>
        <w:tblCellMar>
          <w:top w:w="28" w:type="dxa"/>
          <w:left w:w="28" w:type="dxa"/>
          <w:bottom w:w="28" w:type="dxa"/>
          <w:right w:w="28" w:type="dxa"/>
        </w:tblCellMar>
      </w:tblPr>
      <w:tblGrid>
        <w:gridCol w:w="531"/>
        <w:gridCol w:w="585"/>
        <w:gridCol w:w="1243"/>
        <w:gridCol w:w="1522"/>
        <w:gridCol w:w="1076"/>
        <w:gridCol w:w="6101"/>
        <w:gridCol w:w="4513"/>
        <w:gridCol w:w="6315"/>
      </w:tblGrid>
      <w:tr w14:paraId="15B50DE0">
        <w:tblPrEx>
          <w:tblCellMar>
            <w:top w:w="28" w:type="dxa"/>
            <w:left w:w="28" w:type="dxa"/>
            <w:bottom w:w="28" w:type="dxa"/>
            <w:right w:w="28" w:type="dxa"/>
          </w:tblCellMar>
        </w:tblPrEx>
        <w:trPr>
          <w:tblHeader/>
          <w:jc w:val="center"/>
        </w:trPr>
        <w:tc>
          <w:tcPr>
            <w:tcW w:w="531" w:type="dxa"/>
            <w:vMerge w:val="restart"/>
            <w:tcBorders>
              <w:top w:val="single" w:color="auto" w:sz="4" w:space="0"/>
              <w:left w:val="single" w:color="auto" w:sz="4" w:space="0"/>
              <w:bottom w:val="single" w:color="auto" w:sz="4" w:space="0"/>
              <w:right w:val="single" w:color="auto" w:sz="4" w:space="0"/>
            </w:tcBorders>
            <w:vAlign w:val="center"/>
          </w:tcPr>
          <w:p w14:paraId="12BB191F">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序号</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14:paraId="3F22BD79">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权力分类</w:t>
            </w:r>
          </w:p>
        </w:tc>
        <w:tc>
          <w:tcPr>
            <w:tcW w:w="9942" w:type="dxa"/>
            <w:gridSpan w:val="4"/>
            <w:tcBorders>
              <w:top w:val="single" w:color="auto" w:sz="4" w:space="0"/>
              <w:left w:val="nil"/>
              <w:bottom w:val="single" w:color="auto" w:sz="4" w:space="0"/>
              <w:right w:val="single" w:color="auto" w:sz="4" w:space="0"/>
            </w:tcBorders>
            <w:vAlign w:val="center"/>
          </w:tcPr>
          <w:p w14:paraId="6AD94778">
            <w:pPr>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权力清单</w:t>
            </w:r>
          </w:p>
        </w:tc>
        <w:tc>
          <w:tcPr>
            <w:tcW w:w="10828" w:type="dxa"/>
            <w:gridSpan w:val="2"/>
            <w:tcBorders>
              <w:top w:val="single" w:color="auto" w:sz="4" w:space="0"/>
              <w:left w:val="nil"/>
              <w:bottom w:val="single" w:color="auto" w:sz="4" w:space="0"/>
              <w:right w:val="single" w:color="auto" w:sz="4" w:space="0"/>
            </w:tcBorders>
            <w:vAlign w:val="center"/>
          </w:tcPr>
          <w:p w14:paraId="4C82FC88">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责任清单</w:t>
            </w:r>
          </w:p>
        </w:tc>
      </w:tr>
      <w:tr w14:paraId="5028F417">
        <w:tblPrEx>
          <w:tblCellMar>
            <w:top w:w="28" w:type="dxa"/>
            <w:left w:w="28" w:type="dxa"/>
            <w:bottom w:w="28" w:type="dxa"/>
            <w:right w:w="28" w:type="dxa"/>
          </w:tblCellMar>
        </w:tblPrEx>
        <w:trPr>
          <w:tblHeader/>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14:paraId="00061053">
            <w:pPr>
              <w:widowControl/>
              <w:adjustRightInd w:val="0"/>
              <w:snapToGrid w:val="0"/>
              <w:spacing w:line="299" w:lineRule="exact"/>
              <w:jc w:val="center"/>
              <w:rPr>
                <w:rFonts w:ascii="黑体" w:hAnsi="黑体" w:eastAsia="黑体" w:cs="黑体"/>
                <w:snapToGrid w:val="0"/>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14:paraId="15ABEF40">
            <w:pPr>
              <w:widowControl/>
              <w:adjustRightInd w:val="0"/>
              <w:snapToGrid w:val="0"/>
              <w:spacing w:line="299" w:lineRule="exact"/>
              <w:jc w:val="center"/>
              <w:rPr>
                <w:rFonts w:ascii="黑体" w:hAnsi="黑体" w:eastAsia="黑体" w:cs="黑体"/>
                <w:snapToGrid w:val="0"/>
                <w:sz w:val="20"/>
                <w:szCs w:val="20"/>
              </w:rPr>
            </w:pPr>
          </w:p>
        </w:tc>
        <w:tc>
          <w:tcPr>
            <w:tcW w:w="1243" w:type="dxa"/>
            <w:tcBorders>
              <w:top w:val="single" w:color="auto" w:sz="4" w:space="0"/>
              <w:left w:val="nil"/>
              <w:bottom w:val="single" w:color="auto" w:sz="4" w:space="0"/>
              <w:right w:val="single" w:color="auto" w:sz="4" w:space="0"/>
            </w:tcBorders>
            <w:vAlign w:val="center"/>
          </w:tcPr>
          <w:p w14:paraId="1BDD7E75">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项目</w:t>
            </w:r>
          </w:p>
          <w:p w14:paraId="54D8E715">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名称</w:t>
            </w:r>
          </w:p>
        </w:tc>
        <w:tc>
          <w:tcPr>
            <w:tcW w:w="1522" w:type="dxa"/>
            <w:tcBorders>
              <w:top w:val="single" w:color="auto" w:sz="4" w:space="0"/>
              <w:left w:val="nil"/>
              <w:bottom w:val="single" w:color="auto" w:sz="4" w:space="0"/>
              <w:right w:val="single" w:color="auto" w:sz="4" w:space="0"/>
            </w:tcBorders>
            <w:vAlign w:val="center"/>
          </w:tcPr>
          <w:p w14:paraId="478A058B">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子项</w:t>
            </w:r>
          </w:p>
          <w:p w14:paraId="4AA2A917">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名称</w:t>
            </w:r>
          </w:p>
        </w:tc>
        <w:tc>
          <w:tcPr>
            <w:tcW w:w="1076" w:type="dxa"/>
            <w:tcBorders>
              <w:top w:val="single" w:color="auto" w:sz="4" w:space="0"/>
              <w:left w:val="nil"/>
              <w:bottom w:val="single" w:color="auto" w:sz="4" w:space="0"/>
              <w:right w:val="single" w:color="auto" w:sz="4" w:space="0"/>
            </w:tcBorders>
            <w:vAlign w:val="center"/>
          </w:tcPr>
          <w:p w14:paraId="187ABD67">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实施</w:t>
            </w:r>
          </w:p>
          <w:p w14:paraId="1112329B">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层级</w:t>
            </w:r>
          </w:p>
        </w:tc>
        <w:tc>
          <w:tcPr>
            <w:tcW w:w="6101" w:type="dxa"/>
            <w:tcBorders>
              <w:top w:val="single" w:color="auto" w:sz="4" w:space="0"/>
              <w:left w:val="nil"/>
              <w:bottom w:val="single" w:color="auto" w:sz="4" w:space="0"/>
              <w:right w:val="single" w:color="auto" w:sz="4" w:space="0"/>
            </w:tcBorders>
            <w:vAlign w:val="center"/>
          </w:tcPr>
          <w:p w14:paraId="61DDC188">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设定依据</w:t>
            </w:r>
          </w:p>
        </w:tc>
        <w:tc>
          <w:tcPr>
            <w:tcW w:w="4513" w:type="dxa"/>
            <w:tcBorders>
              <w:top w:val="single" w:color="auto" w:sz="4" w:space="0"/>
              <w:left w:val="nil"/>
              <w:bottom w:val="single" w:color="auto" w:sz="4" w:space="0"/>
              <w:right w:val="single" w:color="auto" w:sz="4" w:space="0"/>
            </w:tcBorders>
            <w:vAlign w:val="center"/>
          </w:tcPr>
          <w:p w14:paraId="5DAE7CB7">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责任事项</w:t>
            </w:r>
          </w:p>
        </w:tc>
        <w:tc>
          <w:tcPr>
            <w:tcW w:w="6315" w:type="dxa"/>
            <w:tcBorders>
              <w:top w:val="single" w:color="auto" w:sz="4" w:space="0"/>
              <w:left w:val="nil"/>
              <w:bottom w:val="single" w:color="auto" w:sz="4" w:space="0"/>
              <w:right w:val="single" w:color="auto" w:sz="4" w:space="0"/>
            </w:tcBorders>
            <w:vAlign w:val="center"/>
          </w:tcPr>
          <w:p w14:paraId="179CB713">
            <w:pPr>
              <w:widowControl/>
              <w:adjustRightInd w:val="0"/>
              <w:snapToGrid w:val="0"/>
              <w:spacing w:line="299" w:lineRule="exact"/>
              <w:jc w:val="center"/>
              <w:rPr>
                <w:rFonts w:ascii="黑体" w:hAnsi="黑体" w:eastAsia="黑体" w:cs="黑体"/>
                <w:snapToGrid w:val="0"/>
                <w:sz w:val="20"/>
                <w:szCs w:val="20"/>
              </w:rPr>
            </w:pPr>
            <w:r>
              <w:rPr>
                <w:rFonts w:hint="eastAsia" w:ascii="黑体" w:hAnsi="黑体" w:eastAsia="黑体" w:cs="黑体"/>
                <w:snapToGrid w:val="0"/>
                <w:sz w:val="20"/>
                <w:szCs w:val="20"/>
              </w:rPr>
              <w:t>责任事项依据</w:t>
            </w:r>
          </w:p>
        </w:tc>
      </w:tr>
      <w:tr w14:paraId="56D002A0">
        <w:tblPrEx>
          <w:tblCellMar>
            <w:top w:w="28" w:type="dxa"/>
            <w:left w:w="28" w:type="dxa"/>
            <w:bottom w:w="28" w:type="dxa"/>
            <w:right w:w="28" w:type="dxa"/>
          </w:tblCellMar>
        </w:tblPrEx>
        <w:trPr>
          <w:trHeight w:val="248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8BBA5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w:t>
            </w:r>
          </w:p>
        </w:tc>
        <w:tc>
          <w:tcPr>
            <w:tcW w:w="585" w:type="dxa"/>
            <w:tcBorders>
              <w:top w:val="single" w:color="auto" w:sz="4" w:space="0"/>
              <w:left w:val="nil"/>
              <w:bottom w:val="single" w:color="auto" w:sz="4" w:space="0"/>
              <w:right w:val="single" w:color="auto" w:sz="4" w:space="0"/>
            </w:tcBorders>
            <w:vAlign w:val="center"/>
          </w:tcPr>
          <w:p w14:paraId="459AF62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w:t>
            </w:r>
          </w:p>
        </w:tc>
        <w:tc>
          <w:tcPr>
            <w:tcW w:w="1243" w:type="dxa"/>
            <w:tcBorders>
              <w:top w:val="single" w:color="auto" w:sz="4" w:space="0"/>
              <w:left w:val="nil"/>
              <w:bottom w:val="single" w:color="auto" w:sz="4" w:space="0"/>
              <w:right w:val="single" w:color="auto" w:sz="4" w:space="0"/>
            </w:tcBorders>
            <w:vAlign w:val="center"/>
          </w:tcPr>
          <w:p w14:paraId="169248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职业培训学校筹设审批</w:t>
            </w:r>
          </w:p>
        </w:tc>
        <w:tc>
          <w:tcPr>
            <w:tcW w:w="1522" w:type="dxa"/>
            <w:tcBorders>
              <w:top w:val="single" w:color="auto" w:sz="4" w:space="0"/>
              <w:left w:val="nil"/>
              <w:bottom w:val="single" w:color="auto" w:sz="4" w:space="0"/>
              <w:right w:val="single" w:color="auto" w:sz="4" w:space="0"/>
            </w:tcBorders>
            <w:vAlign w:val="center"/>
          </w:tcPr>
          <w:p w14:paraId="512FA81D">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民办职业培训学校筹设审批（设区的市级权限）</w:t>
            </w:r>
          </w:p>
          <w:p w14:paraId="628F6ADB">
            <w:pPr>
              <w:pStyle w:val="2"/>
            </w:pPr>
            <w:r>
              <w:rPr>
                <w:rFonts w:eastAsia="仿宋_GB2312" w:cs="仿宋_GB2312"/>
                <w:snapToGrid w:val="0"/>
                <w:sz w:val="20"/>
                <w:szCs w:val="20"/>
              </w:rPr>
              <w:t>2.</w:t>
            </w:r>
            <w:r>
              <w:rPr>
                <w:rFonts w:hint="eastAsia" w:eastAsia="仿宋_GB2312" w:cs="仿宋_GB2312"/>
                <w:snapToGrid w:val="0"/>
                <w:sz w:val="20"/>
                <w:szCs w:val="20"/>
              </w:rPr>
              <w:t>民办职业培训学校筹设审批（县级权限）</w:t>
            </w:r>
          </w:p>
        </w:tc>
        <w:tc>
          <w:tcPr>
            <w:tcW w:w="1076" w:type="dxa"/>
            <w:tcBorders>
              <w:top w:val="single" w:color="auto" w:sz="4" w:space="0"/>
              <w:left w:val="nil"/>
              <w:bottom w:val="single" w:color="auto" w:sz="4" w:space="0"/>
              <w:right w:val="single" w:color="auto" w:sz="4" w:space="0"/>
            </w:tcBorders>
            <w:vAlign w:val="center"/>
          </w:tcPr>
          <w:p w14:paraId="3A1367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EA94E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14:paraId="57908D3B">
            <w:pPr>
              <w:widowControl/>
              <w:adjustRightInd w:val="0"/>
              <w:snapToGrid w:val="0"/>
              <w:spacing w:line="240" w:lineRule="exact"/>
              <w:jc w:val="center"/>
              <w:rPr>
                <w:rFonts w:eastAsia="仿宋_GB2312" w:cs="仿宋_GB2312"/>
                <w:snapToGrid w:val="0"/>
                <w:sz w:val="20"/>
                <w:szCs w:val="20"/>
              </w:rPr>
            </w:pPr>
            <w:r>
              <w:rPr>
                <w:rFonts w:hint="eastAsia" w:eastAsia="仿宋_GB2312" w:cs="仿宋_GB2312"/>
                <w:snapToGrid w:val="0"/>
                <w:sz w:val="20"/>
                <w:szCs w:val="20"/>
              </w:rPr>
              <w:t>第十四条：审批机关应当自受理筹设民办学校的申请之日起三十日内以书面形式作出是否同意的决定。</w:t>
            </w:r>
          </w:p>
          <w:p w14:paraId="46E621E8">
            <w:pPr>
              <w:widowControl/>
              <w:adjustRightInd w:val="0"/>
              <w:snapToGrid w:val="0"/>
              <w:spacing w:line="240" w:lineRule="exact"/>
              <w:jc w:val="center"/>
              <w:rPr>
                <w:rFonts w:eastAsia="仿宋_GB2312" w:cs="仿宋_GB2312"/>
                <w:snapToGrid w:val="0"/>
                <w:sz w:val="20"/>
                <w:szCs w:val="20"/>
              </w:rPr>
            </w:pPr>
            <w:r>
              <w:rPr>
                <w:rFonts w:eastAsia="仿宋_GB2312" w:cs="仿宋_GB2312"/>
                <w:snapToGrid w:val="0"/>
                <w:sz w:val="20"/>
                <w:szCs w:val="20"/>
              </w:rPr>
              <w:t xml:space="preserve">    </w:t>
            </w:r>
            <w:r>
              <w:rPr>
                <w:rFonts w:hint="eastAsia" w:eastAsia="仿宋_GB2312" w:cs="仿宋_GB2312"/>
                <w:snapToGrid w:val="0"/>
                <w:sz w:val="20"/>
                <w:szCs w:val="20"/>
              </w:rPr>
              <w:t>同意筹设的，发给筹设批准书。不同意筹设的，应当说明理由。……</w:t>
            </w:r>
          </w:p>
          <w:p w14:paraId="054E064F">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7436BE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1.受理责任：当场一次性告知或五日内一次性告知；依法受理或不予受理（不予受理应当告知理由）。</w:t>
            </w:r>
          </w:p>
          <w:p w14:paraId="5A6406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2.审查责任：材料审核；组织专家开展现场评估核查。</w:t>
            </w:r>
          </w:p>
          <w:p w14:paraId="355134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3.决定责任：作出决定（不予行政许可的应当告知理由）；按时办结。</w:t>
            </w:r>
          </w:p>
          <w:p w14:paraId="0C0FD4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4.送达责任：制发送达决定文件；信息公开。</w:t>
            </w:r>
          </w:p>
          <w:p w14:paraId="1DE3D0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5.事后监管责任：建立审批档案；加强职业培训学校的办学管理。</w:t>
            </w:r>
          </w:p>
          <w:p w14:paraId="105EA14F">
            <w:pPr>
              <w:pStyle w:val="2"/>
            </w:pPr>
            <w:r>
              <w:rPr>
                <w:rFonts w:hint="eastAsia" w:eastAsia="仿宋_GB2312" w:cs="仿宋_GB2312"/>
                <w:snapToGrid w:val="0"/>
                <w:sz w:val="20"/>
                <w:szCs w:val="20"/>
              </w:rPr>
              <w:t>6.法律法规规章文件规定的其他应履行的责任。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448C7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359B87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7A1B71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4745D8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5A7BA59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797CC5A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65CE3C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4-1.【法律】《中华人民共和国行政许可法》（2003年8月27日通过，2019年4月23日修正）第四十条：行政机关作出的准予行政许可决定，应当予以公开，公众有权查阅。</w:t>
            </w:r>
          </w:p>
          <w:p w14:paraId="754A5C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4D101377">
            <w:pPr>
              <w:widowControl/>
              <w:adjustRightInd w:val="0"/>
              <w:snapToGrid w:val="0"/>
              <w:spacing w:line="24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5.【法律】《中华人民共和国行政许可法》（2003年8月27日通过，2019年4月23日修正）第六十一条：行政机关应当建立健全监督制度，通过核查反映被许可人从事行政许可事项活动情况的有关材料，履行监督责任。</w:t>
            </w:r>
          </w:p>
        </w:tc>
      </w:tr>
      <w:tr w14:paraId="6E82884C">
        <w:tblPrEx>
          <w:tblCellMar>
            <w:top w:w="28" w:type="dxa"/>
            <w:left w:w="28" w:type="dxa"/>
            <w:bottom w:w="28" w:type="dxa"/>
            <w:right w:w="28" w:type="dxa"/>
          </w:tblCellMar>
        </w:tblPrEx>
        <w:trPr>
          <w:trHeight w:val="248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6D705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w:t>
            </w:r>
          </w:p>
        </w:tc>
        <w:tc>
          <w:tcPr>
            <w:tcW w:w="585" w:type="dxa"/>
            <w:tcBorders>
              <w:top w:val="single" w:color="auto" w:sz="4" w:space="0"/>
              <w:left w:val="nil"/>
              <w:bottom w:val="single" w:color="auto" w:sz="4" w:space="0"/>
              <w:right w:val="single" w:color="auto" w:sz="4" w:space="0"/>
            </w:tcBorders>
            <w:vAlign w:val="center"/>
          </w:tcPr>
          <w:p w14:paraId="60C37A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w:t>
            </w:r>
          </w:p>
        </w:tc>
        <w:tc>
          <w:tcPr>
            <w:tcW w:w="1243" w:type="dxa"/>
            <w:tcBorders>
              <w:top w:val="single" w:color="auto" w:sz="4" w:space="0"/>
              <w:left w:val="nil"/>
              <w:bottom w:val="single" w:color="auto" w:sz="4" w:space="0"/>
              <w:right w:val="single" w:color="auto" w:sz="4" w:space="0"/>
            </w:tcBorders>
            <w:vAlign w:val="center"/>
          </w:tcPr>
          <w:p w14:paraId="2F2F6D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职业培训学校办学许可</w:t>
            </w:r>
          </w:p>
        </w:tc>
        <w:tc>
          <w:tcPr>
            <w:tcW w:w="1522" w:type="dxa"/>
            <w:tcBorders>
              <w:top w:val="single" w:color="auto" w:sz="4" w:space="0"/>
              <w:left w:val="nil"/>
              <w:bottom w:val="single" w:color="auto" w:sz="4" w:space="0"/>
              <w:right w:val="single" w:color="auto" w:sz="4" w:space="0"/>
            </w:tcBorders>
            <w:vAlign w:val="center"/>
          </w:tcPr>
          <w:p w14:paraId="33B7E513">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民办职业培训学校办学许可（设区的市级权限）</w:t>
            </w:r>
          </w:p>
          <w:p w14:paraId="08B4C87D">
            <w:pPr>
              <w:pStyle w:val="2"/>
            </w:pPr>
            <w:r>
              <w:rPr>
                <w:rFonts w:eastAsia="仿宋_GB2312" w:cs="仿宋_GB2312"/>
                <w:snapToGrid w:val="0"/>
                <w:sz w:val="20"/>
                <w:szCs w:val="20"/>
              </w:rPr>
              <w:t>2.</w:t>
            </w:r>
            <w:r>
              <w:rPr>
                <w:rFonts w:hint="eastAsia" w:eastAsia="仿宋_GB2312" w:cs="仿宋_GB2312"/>
                <w:snapToGrid w:val="0"/>
                <w:sz w:val="20"/>
                <w:szCs w:val="20"/>
              </w:rPr>
              <w:t>民办职业培训学校办学许可（县级权限）</w:t>
            </w:r>
          </w:p>
        </w:tc>
        <w:tc>
          <w:tcPr>
            <w:tcW w:w="1076" w:type="dxa"/>
            <w:tcBorders>
              <w:top w:val="single" w:color="auto" w:sz="4" w:space="0"/>
              <w:left w:val="nil"/>
              <w:bottom w:val="single" w:color="auto" w:sz="4" w:space="0"/>
              <w:right w:val="single" w:color="auto" w:sz="4" w:space="0"/>
            </w:tcBorders>
            <w:vAlign w:val="center"/>
          </w:tcPr>
          <w:p w14:paraId="00DDFE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254C7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民办教育促进法》（2002年12月28日通过，2018年12月29日主席令第24号第三次修正）第十二条：……举办实施以职业技能为主的职业资格培训、职业技能培训的民办学校，由县级以上人民政府人力资源社会保障行政部门按照国家规定的权限审批，并抄送同级教育行政部门备案。</w:t>
            </w:r>
          </w:p>
          <w:p w14:paraId="522CD0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第十七条：申请正式设立民办学校的，审批机关应当自受理之日起三个月内以书面形式作出是否批准的决定，并送达申请人……</w:t>
            </w:r>
          </w:p>
          <w:p w14:paraId="109959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第五十三条：民办学校的分立、合并，在进行财务清算后，由学校理事会或者董事会报审批机关批准……</w:t>
            </w:r>
          </w:p>
          <w:p w14:paraId="7DE1D0C5">
            <w:pPr>
              <w:widowControl/>
              <w:adjustRightInd w:val="0"/>
              <w:snapToGrid w:val="0"/>
              <w:spacing w:line="240" w:lineRule="exact"/>
              <w:jc w:val="center"/>
              <w:rPr>
                <w:rFonts w:eastAsia="仿宋_GB2312" w:cs="仿宋_GB2312"/>
                <w:snapToGrid w:val="0"/>
                <w:sz w:val="20"/>
                <w:szCs w:val="20"/>
              </w:rPr>
            </w:pPr>
            <w:r>
              <w:rPr>
                <w:rFonts w:hint="eastAsia" w:eastAsia="仿宋_GB2312" w:cs="仿宋_GB2312"/>
                <w:snapToGrid w:val="0"/>
                <w:sz w:val="20"/>
                <w:szCs w:val="20"/>
              </w:rPr>
              <w:t>第五十四条：民办学校举办者的变更，须由举办者提出，在进行财务清算后，经学校理事会或者董事会同意，报审批机关核准。</w:t>
            </w:r>
          </w:p>
          <w:p w14:paraId="1F1257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第五十五条：民办学校名称、层次、类别的变更，由学校理事会或者董事会报审批机关批准。……</w:t>
            </w:r>
          </w:p>
          <w:p w14:paraId="1B5E86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第五十六条：民办学校有下列情形之一的，应当终止:（一）根据学校章程规定要求终止，并经审批机关批准的……。</w:t>
            </w:r>
          </w:p>
          <w:p w14:paraId="31DB4D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   </w:t>
            </w:r>
          </w:p>
        </w:tc>
        <w:tc>
          <w:tcPr>
            <w:tcW w:w="4513" w:type="dxa"/>
            <w:tcBorders>
              <w:top w:val="single" w:color="auto" w:sz="4" w:space="0"/>
              <w:left w:val="nil"/>
              <w:bottom w:val="single" w:color="auto" w:sz="4" w:space="0"/>
              <w:right w:val="single" w:color="auto" w:sz="4" w:space="0"/>
            </w:tcBorders>
            <w:vAlign w:val="center"/>
          </w:tcPr>
          <w:p w14:paraId="5EDD82C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1.受理责任：当场一次性告知或五日内一次性告知；依法受理或不予受理（不予受理应当告知理由）。</w:t>
            </w:r>
          </w:p>
          <w:p w14:paraId="087AF50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2.审查责任：材料审核；组织专家开展现场评估核查。</w:t>
            </w:r>
          </w:p>
          <w:p w14:paraId="127ADE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3.决定责任：作出决定（不予行政许可的应当告知理由）；按时办结。</w:t>
            </w:r>
          </w:p>
          <w:p w14:paraId="26B8A9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4.送达责任：制发送达决定文件；信息公开。</w:t>
            </w:r>
          </w:p>
          <w:p w14:paraId="45739C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5.事后监管责任：建立审批档案；加强职业培训学校的办学管理。</w:t>
            </w:r>
          </w:p>
          <w:p w14:paraId="0E240D1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84C4E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4ED510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1F03D0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6397F5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49EAD4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6F865E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12A6D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4-1.【法律】《中华人民共和国行政许可法》（2003年8月27日通过，2019年4月23日修正）第四十条：行政机关作出的准予行政许可决定，应当予以公开，公众有权查阅。</w:t>
            </w:r>
          </w:p>
          <w:p w14:paraId="73F5FA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642632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5.【法律】《中华人民共和国行政许可法》（2003年8月27日通过，2019年4月23日修正）第六十一条：行政机关应当建立健全监督制度，通过核查反映被许可人从事行政许可事项活动情况的有关材料，履行监督责任。</w:t>
            </w:r>
          </w:p>
        </w:tc>
      </w:tr>
      <w:tr w14:paraId="2FCA0157">
        <w:tblPrEx>
          <w:tblCellMar>
            <w:top w:w="28" w:type="dxa"/>
            <w:left w:w="28" w:type="dxa"/>
            <w:bottom w:w="28" w:type="dxa"/>
            <w:right w:w="28" w:type="dxa"/>
          </w:tblCellMar>
        </w:tblPrEx>
        <w:trPr>
          <w:trHeight w:val="37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7BFEB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w:t>
            </w:r>
          </w:p>
        </w:tc>
        <w:tc>
          <w:tcPr>
            <w:tcW w:w="585" w:type="dxa"/>
            <w:tcBorders>
              <w:top w:val="single" w:color="auto" w:sz="4" w:space="0"/>
              <w:left w:val="nil"/>
              <w:bottom w:val="single" w:color="auto" w:sz="4" w:space="0"/>
              <w:right w:val="single" w:color="auto" w:sz="4" w:space="0"/>
            </w:tcBorders>
            <w:vAlign w:val="center"/>
          </w:tcPr>
          <w:p w14:paraId="51A4E1C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w:t>
            </w:r>
          </w:p>
        </w:tc>
        <w:tc>
          <w:tcPr>
            <w:tcW w:w="1243" w:type="dxa"/>
            <w:tcBorders>
              <w:top w:val="single" w:color="auto" w:sz="4" w:space="0"/>
              <w:left w:val="nil"/>
              <w:bottom w:val="single" w:color="auto" w:sz="4" w:space="0"/>
              <w:right w:val="single" w:color="auto" w:sz="4" w:space="0"/>
            </w:tcBorders>
            <w:vAlign w:val="center"/>
          </w:tcPr>
          <w:p w14:paraId="3F0DAA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企业实行不定时工作制和综合计算工时工作制审批</w:t>
            </w:r>
          </w:p>
        </w:tc>
        <w:tc>
          <w:tcPr>
            <w:tcW w:w="1522" w:type="dxa"/>
            <w:tcBorders>
              <w:top w:val="single" w:color="auto" w:sz="4" w:space="0"/>
              <w:left w:val="nil"/>
              <w:bottom w:val="single" w:color="auto" w:sz="4" w:space="0"/>
              <w:right w:val="single" w:color="auto" w:sz="4" w:space="0"/>
            </w:tcBorders>
            <w:vAlign w:val="center"/>
          </w:tcPr>
          <w:p w14:paraId="71C329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1.企业实行不定时工作制和综合计算工时工作制审批（设区的市级权限）</w:t>
            </w:r>
          </w:p>
          <w:p w14:paraId="6ED715FB">
            <w:pPr>
              <w:pStyle w:val="2"/>
            </w:pPr>
            <w:r>
              <w:rPr>
                <w:rFonts w:hint="eastAsia"/>
              </w:rPr>
              <w:t>2.</w:t>
            </w:r>
            <w:r>
              <w:rPr>
                <w:rFonts w:hint="eastAsia" w:eastAsia="仿宋_GB2312" w:cs="仿宋_GB2312"/>
                <w:snapToGrid w:val="0"/>
                <w:sz w:val="20"/>
                <w:szCs w:val="20"/>
              </w:rPr>
              <w:t>企业实行不定时工作制和综合计算工时工作制审批（县级权限）</w:t>
            </w:r>
          </w:p>
        </w:tc>
        <w:tc>
          <w:tcPr>
            <w:tcW w:w="1076" w:type="dxa"/>
            <w:tcBorders>
              <w:top w:val="single" w:color="auto" w:sz="4" w:space="0"/>
              <w:left w:val="nil"/>
              <w:bottom w:val="single" w:color="auto" w:sz="4" w:space="0"/>
              <w:right w:val="single" w:color="auto" w:sz="4" w:space="0"/>
            </w:tcBorders>
            <w:vAlign w:val="center"/>
          </w:tcPr>
          <w:p w14:paraId="7879D2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6B74C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1.【法律】《中华人民共和国劳动法》（1994年7月5日主席令第28号，2018年12月29日第二次修正）第三十六条：国家实行劳动者每日工作时间不超过八小时、平均每周工作时间不超过四十四小时的工时制度。</w:t>
            </w:r>
          </w:p>
          <w:p w14:paraId="3FE781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第三十七条：对实行计件工作的劳动者，用人单位应当根据本法第三十六条规定的工时制度合理确定其劳动定额和计件报酬标准。</w:t>
            </w:r>
          </w:p>
          <w:p w14:paraId="55B6E3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第三十八条：用人单位应当保证劳动者每周至少休息一日。</w:t>
            </w:r>
          </w:p>
          <w:p w14:paraId="3209A22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第三十九条：企业因生产特点不能实行本法第三十六条、第三十八条规定的，经劳动行政部门批准，可以实行其他工作和休息办法。</w:t>
            </w:r>
          </w:p>
          <w:p w14:paraId="472FC8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国务院关于职工工作时间的规定》（1994年国务院令第146号，1995年国务院令第174号修订）第五条：因工作性质或者生产特点的限制，不能实行每日工作8小时、每周工作40小时标准工时制度的，按照国家有关规定，可以实行其他工作和休息办法。</w:t>
            </w:r>
          </w:p>
        </w:tc>
        <w:tc>
          <w:tcPr>
            <w:tcW w:w="4513" w:type="dxa"/>
            <w:tcBorders>
              <w:top w:val="single" w:color="auto" w:sz="4" w:space="0"/>
              <w:left w:val="nil"/>
              <w:bottom w:val="single" w:color="auto" w:sz="4" w:space="0"/>
              <w:right w:val="single" w:color="auto" w:sz="4" w:space="0"/>
            </w:tcBorders>
            <w:vAlign w:val="center"/>
          </w:tcPr>
          <w:p w14:paraId="507CCD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1.受理责任：一次性告知补正材料；依法受理或不予受理（不予受理应当告知理由）。</w:t>
            </w:r>
          </w:p>
          <w:p w14:paraId="071B67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2.审查责任：按照政策规定对书面材料进行审查，提出是否同意审批的初步意见，告知申请人、利害相关人享有听证权利；涉及公共利益的重大许可，向社会公告，并举行听证。</w:t>
            </w:r>
          </w:p>
          <w:p w14:paraId="122DD10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3.决定责任：作出行政许可或者不予行政许可决定，法定告知（不予许可的应当书面告知理由）。</w:t>
            </w:r>
          </w:p>
          <w:p w14:paraId="0B8D4E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4.送达责任：准予许可的制发送达审批决定。</w:t>
            </w:r>
          </w:p>
          <w:p w14:paraId="29079A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5.事后监管环节责任：对审批后的相关事宜实施监督管理。</w:t>
            </w:r>
          </w:p>
          <w:p w14:paraId="335849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DEAA2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3757CF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54CDBAC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0B0D7D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702168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341C96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0910E38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4-1.【法律】《中华人民共和国行政许可法》（2003年8月27日通过，2019年4月23日修正）第四十条：行政机关作出的准予行政许可决定，应当予以公开，公众有权查阅。</w:t>
            </w:r>
          </w:p>
          <w:p w14:paraId="5B4E2F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6F8C6F1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5.【法律】《中华人民共和国行政许可法》（2003年8月27日通过，2019年4月23日修正）第六十一条：行政机关应当建立健全监督制度，通过核查反映被许可人从事行政许可事项活动情况的有关材料，履行监督责任。</w:t>
            </w:r>
          </w:p>
        </w:tc>
      </w:tr>
      <w:tr w14:paraId="1F361DA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CB9D1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w:t>
            </w:r>
          </w:p>
        </w:tc>
        <w:tc>
          <w:tcPr>
            <w:tcW w:w="585" w:type="dxa"/>
            <w:tcBorders>
              <w:top w:val="single" w:color="auto" w:sz="4" w:space="0"/>
              <w:left w:val="nil"/>
              <w:bottom w:val="single" w:color="auto" w:sz="4" w:space="0"/>
              <w:right w:val="single" w:color="auto" w:sz="4" w:space="0"/>
            </w:tcBorders>
            <w:vAlign w:val="center"/>
          </w:tcPr>
          <w:p w14:paraId="06A279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w:t>
            </w:r>
          </w:p>
        </w:tc>
        <w:tc>
          <w:tcPr>
            <w:tcW w:w="1243" w:type="dxa"/>
            <w:tcBorders>
              <w:top w:val="single" w:color="auto" w:sz="4" w:space="0"/>
              <w:left w:val="nil"/>
              <w:bottom w:val="single" w:color="auto" w:sz="4" w:space="0"/>
              <w:right w:val="single" w:color="auto" w:sz="4" w:space="0"/>
            </w:tcBorders>
            <w:vAlign w:val="center"/>
          </w:tcPr>
          <w:p w14:paraId="706EE9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人力资源服务许可</w:t>
            </w:r>
          </w:p>
        </w:tc>
        <w:tc>
          <w:tcPr>
            <w:tcW w:w="1522" w:type="dxa"/>
            <w:tcBorders>
              <w:top w:val="single" w:color="auto" w:sz="4" w:space="0"/>
              <w:left w:val="nil"/>
              <w:bottom w:val="single" w:color="auto" w:sz="4" w:space="0"/>
              <w:right w:val="single" w:color="auto" w:sz="4" w:space="0"/>
            </w:tcBorders>
            <w:vAlign w:val="center"/>
          </w:tcPr>
          <w:p w14:paraId="1C3A88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1.人力资源服务许可（设区的市级权限）</w:t>
            </w:r>
          </w:p>
          <w:p w14:paraId="73F37472">
            <w:pPr>
              <w:pStyle w:val="2"/>
            </w:pPr>
            <w:r>
              <w:rPr>
                <w:rFonts w:hint="eastAsia"/>
              </w:rPr>
              <w:t>2.</w:t>
            </w:r>
            <w:r>
              <w:rPr>
                <w:rFonts w:hint="eastAsia" w:eastAsia="仿宋_GB2312" w:cs="仿宋_GB2312"/>
                <w:snapToGrid w:val="0"/>
                <w:sz w:val="20"/>
                <w:szCs w:val="20"/>
              </w:rPr>
              <w:t>人力资源服务许可（县级权限）</w:t>
            </w:r>
          </w:p>
        </w:tc>
        <w:tc>
          <w:tcPr>
            <w:tcW w:w="1076" w:type="dxa"/>
            <w:tcBorders>
              <w:top w:val="single" w:color="auto" w:sz="4" w:space="0"/>
              <w:left w:val="nil"/>
              <w:bottom w:val="single" w:color="auto" w:sz="4" w:space="0"/>
              <w:right w:val="single" w:color="auto" w:sz="4" w:space="0"/>
            </w:tcBorders>
            <w:vAlign w:val="center"/>
          </w:tcPr>
          <w:p w14:paraId="51DBB6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C48E8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四十条：……设立职业中介机构应当在工商行政管理部门办理登记后，向劳动行政部门申请行政许可。未经依法许可和登记的机构，不得从事职业中介活动。……</w:t>
            </w:r>
          </w:p>
          <w:p w14:paraId="354356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人力资源市场暂行条例》（2018年6月29日国务院令第700号公布）第十八条：经营性人力资源服务机构从事职业中介活动的，应当依法向人力资源社会保障行政部门申请行政许可，取得人力资源服务许可证。……</w:t>
            </w:r>
          </w:p>
          <w:p w14:paraId="5A0FA70E">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713EF4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1.受理责任：一次性告知补正材料；依法受理或不予受理（不予受理应当告知理由）。</w:t>
            </w:r>
          </w:p>
          <w:p w14:paraId="652C3F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2.审查责任：按照政策规定对书面材料进行审查，提出是否同意审批的初步意见，告知申请人、利害相关人享有听证权利；涉及公共利益的重大许可，向社会公告，并举行听证。</w:t>
            </w:r>
          </w:p>
          <w:p w14:paraId="054A10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3.决定责任：作出行政许可或者不予行政许可决定，法定告知（不予许可的应当书面告知理由）。</w:t>
            </w:r>
          </w:p>
          <w:p w14:paraId="058DB0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4.送达责任：准予许可的制发送达审批决定。</w:t>
            </w:r>
          </w:p>
          <w:p w14:paraId="11DD7B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5.事后监管环节责任：对审批后的相关事宜实施监督管理。</w:t>
            </w:r>
          </w:p>
          <w:p w14:paraId="6D90A2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09A4B4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55E247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2E1B55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38C8DB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5E1266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7902F4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94708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4-1.【法律】《中华人民共和国行政许可法》（2003年8月27日通过，2019年4月23日修正）第四十条：行政机关作出的准予行政许可决定，应当予以公开，公众有权查阅。</w:t>
            </w:r>
          </w:p>
          <w:p w14:paraId="16051B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2A31E1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5.【法律】《中华人民共和国行政许可法》（2003年8月27日通过，2019年4月23日修正）第六十一条：行政机关应当建立健全监督制度，通过核查反映被许可人从事行政许可事项活动情况的有关材料，履行监督责任。</w:t>
            </w:r>
          </w:p>
        </w:tc>
      </w:tr>
      <w:tr w14:paraId="6DE8EB25">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878D4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w:t>
            </w:r>
          </w:p>
        </w:tc>
        <w:tc>
          <w:tcPr>
            <w:tcW w:w="585" w:type="dxa"/>
            <w:tcBorders>
              <w:top w:val="single" w:color="auto" w:sz="4" w:space="0"/>
              <w:left w:val="nil"/>
              <w:bottom w:val="single" w:color="auto" w:sz="4" w:space="0"/>
              <w:right w:val="single" w:color="auto" w:sz="4" w:space="0"/>
            </w:tcBorders>
            <w:vAlign w:val="center"/>
          </w:tcPr>
          <w:p w14:paraId="3082626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w:t>
            </w:r>
          </w:p>
        </w:tc>
        <w:tc>
          <w:tcPr>
            <w:tcW w:w="1243" w:type="dxa"/>
            <w:tcBorders>
              <w:top w:val="single" w:color="auto" w:sz="4" w:space="0"/>
              <w:left w:val="nil"/>
              <w:bottom w:val="single" w:color="auto" w:sz="4" w:space="0"/>
              <w:right w:val="single" w:color="auto" w:sz="4" w:space="0"/>
            </w:tcBorders>
            <w:vAlign w:val="center"/>
          </w:tcPr>
          <w:p w14:paraId="7C2EC2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劳务派遣经营许可</w:t>
            </w:r>
          </w:p>
        </w:tc>
        <w:tc>
          <w:tcPr>
            <w:tcW w:w="1522" w:type="dxa"/>
            <w:tcBorders>
              <w:top w:val="single" w:color="auto" w:sz="4" w:space="0"/>
              <w:left w:val="nil"/>
              <w:bottom w:val="single" w:color="auto" w:sz="4" w:space="0"/>
              <w:right w:val="single" w:color="auto" w:sz="4" w:space="0"/>
            </w:tcBorders>
            <w:vAlign w:val="center"/>
          </w:tcPr>
          <w:p w14:paraId="06856B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1.劳务派遣经营许可（设区的市级权限）</w:t>
            </w:r>
          </w:p>
          <w:p w14:paraId="5560A5DD">
            <w:pPr>
              <w:pStyle w:val="2"/>
            </w:pPr>
            <w:r>
              <w:rPr>
                <w:rFonts w:hint="eastAsia"/>
              </w:rPr>
              <w:t>2.</w:t>
            </w:r>
            <w:r>
              <w:rPr>
                <w:rFonts w:hint="eastAsia" w:eastAsia="仿宋_GB2312" w:cs="仿宋_GB2312"/>
                <w:snapToGrid w:val="0"/>
                <w:sz w:val="20"/>
                <w:szCs w:val="20"/>
              </w:rPr>
              <w:t>劳务派遣经营许可（县级权限）</w:t>
            </w:r>
          </w:p>
        </w:tc>
        <w:tc>
          <w:tcPr>
            <w:tcW w:w="1076" w:type="dxa"/>
            <w:tcBorders>
              <w:top w:val="single" w:color="auto" w:sz="4" w:space="0"/>
              <w:left w:val="nil"/>
              <w:bottom w:val="single" w:color="auto" w:sz="4" w:space="0"/>
              <w:right w:val="single" w:color="auto" w:sz="4" w:space="0"/>
            </w:tcBorders>
            <w:vAlign w:val="center"/>
          </w:tcPr>
          <w:p w14:paraId="6F785B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720AC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五十七条：……经营劳务派遣业务，应当向劳动行政部门依法申请行政许可；经许可的，依法办理相应的公司登记。未经许可，任何单位和个人不得经营劳务派遣业务。</w:t>
            </w:r>
          </w:p>
          <w:p w14:paraId="364BBE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劳务派遣行政许可实施办法》（2013年6月20日人力资源社会保障部令第19号）第三条：县级以上地方人力资源社会保障行政部门按照省、自治区、直辖市人力资源社会保障行政部门确定的许可管辖分工，负责实施本行政区域内劳务派遣行政许可工作以及相关的监督检查。</w:t>
            </w:r>
          </w:p>
          <w:p w14:paraId="64A9E2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第六条：经营劳务派遣业务，应当向所在地有许可管辖权的人力资源社会保障行政部门（以下称许可机关）依法申请行政许可。未经许可，任何单位和个人不得经营劳务派遣业务。</w:t>
            </w:r>
          </w:p>
        </w:tc>
        <w:tc>
          <w:tcPr>
            <w:tcW w:w="4513" w:type="dxa"/>
            <w:tcBorders>
              <w:top w:val="single" w:color="auto" w:sz="4" w:space="0"/>
              <w:left w:val="nil"/>
              <w:bottom w:val="single" w:color="auto" w:sz="4" w:space="0"/>
              <w:right w:val="single" w:color="auto" w:sz="4" w:space="0"/>
            </w:tcBorders>
            <w:vAlign w:val="center"/>
          </w:tcPr>
          <w:p w14:paraId="4F11718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1.受理责任：一次性告知补正材料；依法受理或不予受理（不予受理应当告知理由）。</w:t>
            </w:r>
          </w:p>
          <w:p w14:paraId="5F840D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2.审查责任：按照政策规定对书面材料进行审查，提出是否同意审批的初步意见，告知申请人、利害相关人享有听证权利；涉及公共利益的重大许可，向社会公告，并举行听证。</w:t>
            </w:r>
          </w:p>
          <w:p w14:paraId="6F0824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3.决定责任：作出行政许可或者不予行政许可决定，法定告知（不予许可的应当书面告知理由）。</w:t>
            </w:r>
          </w:p>
          <w:p w14:paraId="4560E3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4.送达责任：准予许可的制发送达审批决定。</w:t>
            </w:r>
          </w:p>
          <w:p w14:paraId="5E0581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5.事后监管环节责任：对审批后的相关事宜实施监督管理。</w:t>
            </w:r>
          </w:p>
          <w:p w14:paraId="236C60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915AB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许可法》（2003年8月27日通过，2019年4月23日修正）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116877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许可法》（2003年8月27日通过，2019年4月23日修正）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14:paraId="413A42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许可法》（2003年8月27日通过，2019年4月23日修正）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541D71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法律】《中华人民共和国行政许可法》（2003年8月27日通过，2019年4月23日修正）第四十六条：法律、法规、规章规定实施行政许可应当听证的事项，或者行政机关认为需要听证的其他涉及公共利益的重大行政许可事项，行政机关应当向社会公告，并举行听证。</w:t>
            </w:r>
          </w:p>
          <w:p w14:paraId="787D00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许可法》（2003年8月27日通过，2019年4月23日修正）第三十七条：行政机关对行政许可申请进行审查后，除当场作出行政许可决定的外，应当在法定期限内按照规定程序作出行政许可决定。</w:t>
            </w:r>
          </w:p>
          <w:p w14:paraId="5F462D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 2.【法律】《中华人民共和国行政许可法》（2003年8月27日通过，2019年4月23日修正）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C67F2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4-1.【法律】《中华人民共和国行政许可法》（2003年8月27日通过，2019年4月23日修正）第四十条：行政机关作出的准予行政许可决定，应当予以公开，公众有权查阅。</w:t>
            </w:r>
          </w:p>
          <w:p w14:paraId="177685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-2.【法律】《中华人民共和国行政许可法》（2003年8月27日通过，2019年4月23日修正）第四十四条：行政机关作出准予行政许可的决定，应当自作出决定之日起十日内向申请人颁发、送达行政许可证件、或者加贴标签、加盖检验、检测、检疫印章。</w:t>
            </w:r>
          </w:p>
          <w:p w14:paraId="1BA05C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5.【法律】《中华人民共和国行政许可法》（2003年8月27日通过，2019年4月23日修正）第六十一条：行政机关应当建立健全监督制度，通过核查反映被许可人从事行政许可事项活动情况的有关材料，履行监督责任。</w:t>
            </w:r>
          </w:p>
        </w:tc>
      </w:tr>
      <w:tr w14:paraId="660EA6B0">
        <w:tblPrEx>
          <w:tblCellMar>
            <w:top w:w="28" w:type="dxa"/>
            <w:left w:w="28" w:type="dxa"/>
            <w:bottom w:w="28" w:type="dxa"/>
            <w:right w:w="28" w:type="dxa"/>
          </w:tblCellMar>
        </w:tblPrEx>
        <w:trPr>
          <w:trHeight w:val="777"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24B08EF3">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6</w:t>
            </w:r>
          </w:p>
        </w:tc>
        <w:tc>
          <w:tcPr>
            <w:tcW w:w="585" w:type="dxa"/>
            <w:tcBorders>
              <w:top w:val="single" w:color="auto" w:sz="4" w:space="0"/>
              <w:left w:val="nil"/>
              <w:bottom w:val="single" w:color="auto" w:sz="4" w:space="0"/>
              <w:right w:val="single" w:color="auto" w:sz="4" w:space="0"/>
            </w:tcBorders>
            <w:shd w:val="clear" w:color="auto" w:fill="auto"/>
            <w:vAlign w:val="center"/>
          </w:tcPr>
          <w:p w14:paraId="14436A53">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color w:val="auto"/>
                <w:sz w:val="20"/>
                <w:szCs w:val="20"/>
              </w:rPr>
              <w:t>行政许可</w:t>
            </w:r>
          </w:p>
        </w:tc>
        <w:tc>
          <w:tcPr>
            <w:tcW w:w="1243" w:type="dxa"/>
            <w:tcBorders>
              <w:top w:val="single" w:color="auto" w:sz="4" w:space="0"/>
              <w:left w:val="nil"/>
              <w:bottom w:val="single" w:color="auto" w:sz="4" w:space="0"/>
              <w:right w:val="single" w:color="auto" w:sz="4" w:space="0"/>
            </w:tcBorders>
            <w:shd w:val="clear" w:color="auto" w:fill="auto"/>
            <w:vAlign w:val="center"/>
          </w:tcPr>
          <w:p w14:paraId="55CEB8B5">
            <w:pPr>
              <w:widowControl/>
              <w:adjustRightInd w:val="0"/>
              <w:snapToGrid w:val="0"/>
              <w:spacing w:line="300" w:lineRule="exact"/>
              <w:jc w:val="center"/>
              <w:rPr>
                <w:rFonts w:hint="eastAsia" w:eastAsia="仿宋_GB2312" w:cs="仿宋_GB2312"/>
                <w:snapToGrid w:val="0"/>
                <w:sz w:val="20"/>
                <w:szCs w:val="20"/>
              </w:rPr>
            </w:pPr>
            <w:r>
              <w:rPr>
                <w:rFonts w:hint="eastAsia" w:ascii="仿宋_GB2312" w:eastAsia="仿宋_GB2312" w:cs="宋体"/>
                <w:color w:val="auto"/>
                <w:kern w:val="0"/>
                <w:sz w:val="20"/>
                <w:szCs w:val="20"/>
              </w:rPr>
              <w:t>外国人来华工作许可</w:t>
            </w:r>
          </w:p>
        </w:tc>
        <w:tc>
          <w:tcPr>
            <w:tcW w:w="1522" w:type="dxa"/>
            <w:tcBorders>
              <w:top w:val="single" w:color="auto" w:sz="4" w:space="0"/>
              <w:left w:val="nil"/>
              <w:bottom w:val="single" w:color="auto" w:sz="4" w:space="0"/>
              <w:right w:val="single" w:color="auto" w:sz="4" w:space="0"/>
            </w:tcBorders>
            <w:shd w:val="clear" w:color="auto" w:fill="auto"/>
            <w:vAlign w:val="center"/>
          </w:tcPr>
          <w:p w14:paraId="271ADF3F">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s="宋体"/>
                <w:color w:val="auto"/>
                <w:kern w:val="0"/>
                <w:sz w:val="20"/>
                <w:szCs w:val="20"/>
                <w:lang w:val="en-US" w:eastAsia="zh-CN"/>
              </w:rPr>
            </w:pPr>
            <w:r>
              <w:rPr>
                <w:rFonts w:hint="eastAsia" w:ascii="仿宋_GB2312" w:eastAsia="仿宋_GB2312" w:cs="宋体"/>
                <w:color w:val="auto"/>
                <w:kern w:val="0"/>
                <w:sz w:val="20"/>
                <w:szCs w:val="20"/>
                <w:lang w:val="en-US" w:eastAsia="zh-CN"/>
              </w:rPr>
              <w:t>1.申请外国人来华工作许可（来华工作90日以上，不含90日）</w:t>
            </w:r>
          </w:p>
          <w:p w14:paraId="3F5F6DB6">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s="宋体"/>
                <w:color w:val="auto"/>
                <w:kern w:val="0"/>
                <w:sz w:val="20"/>
                <w:szCs w:val="20"/>
                <w:lang w:val="en-US" w:eastAsia="zh-CN"/>
              </w:rPr>
            </w:pPr>
            <w:r>
              <w:rPr>
                <w:rFonts w:hint="eastAsia" w:ascii="仿宋_GB2312" w:eastAsia="仿宋_GB2312" w:cs="宋体"/>
                <w:color w:val="auto"/>
                <w:kern w:val="0"/>
                <w:sz w:val="20"/>
                <w:szCs w:val="20"/>
                <w:lang w:val="en-US" w:eastAsia="zh-CN"/>
              </w:rPr>
              <w:t>2.申请外国人来华工作许可（来华工作90日以下，含90日）</w:t>
            </w:r>
          </w:p>
          <w:p w14:paraId="5A751B81">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s="宋体"/>
                <w:color w:val="auto"/>
                <w:kern w:val="0"/>
                <w:sz w:val="20"/>
                <w:szCs w:val="20"/>
                <w:lang w:val="en-US" w:eastAsia="zh-CN"/>
              </w:rPr>
            </w:pPr>
            <w:r>
              <w:rPr>
                <w:rFonts w:hint="eastAsia" w:ascii="仿宋_GB2312" w:eastAsia="仿宋_GB2312" w:cs="宋体"/>
                <w:color w:val="auto"/>
                <w:kern w:val="0"/>
                <w:sz w:val="20"/>
                <w:szCs w:val="20"/>
                <w:lang w:val="en-US" w:eastAsia="zh-CN"/>
              </w:rPr>
              <w:t>3.申请外国人来华工作许可延期</w:t>
            </w:r>
          </w:p>
          <w:p w14:paraId="0D430C89">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s="宋体"/>
                <w:color w:val="auto"/>
                <w:kern w:val="0"/>
                <w:sz w:val="20"/>
                <w:szCs w:val="20"/>
                <w:lang w:val="en-US" w:eastAsia="zh-CN"/>
              </w:rPr>
            </w:pPr>
            <w:r>
              <w:rPr>
                <w:rFonts w:hint="eastAsia" w:ascii="仿宋_GB2312" w:eastAsia="仿宋_GB2312" w:cs="宋体"/>
                <w:color w:val="auto"/>
                <w:kern w:val="0"/>
                <w:sz w:val="20"/>
                <w:szCs w:val="20"/>
                <w:lang w:val="en-US" w:eastAsia="zh-CN"/>
              </w:rPr>
              <w:t>4.申请外国人来华工作许可变更</w:t>
            </w:r>
          </w:p>
          <w:p w14:paraId="71210149">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s="宋体"/>
                <w:color w:val="auto"/>
                <w:kern w:val="0"/>
                <w:sz w:val="20"/>
                <w:szCs w:val="20"/>
                <w:lang w:val="en-US" w:eastAsia="zh-CN"/>
              </w:rPr>
            </w:pPr>
            <w:r>
              <w:rPr>
                <w:rFonts w:hint="eastAsia" w:ascii="仿宋_GB2312" w:eastAsia="仿宋_GB2312" w:cs="宋体"/>
                <w:color w:val="auto"/>
                <w:kern w:val="0"/>
                <w:sz w:val="20"/>
                <w:szCs w:val="20"/>
                <w:lang w:val="en-US" w:eastAsia="zh-CN"/>
              </w:rPr>
              <w:t>5.申请外国人来华工作许可注销</w:t>
            </w:r>
          </w:p>
          <w:p w14:paraId="6645F09D">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rPr>
            </w:pPr>
            <w:r>
              <w:rPr>
                <w:rFonts w:hint="eastAsia" w:ascii="仿宋_GB2312" w:eastAsia="仿宋_GB2312" w:cs="宋体"/>
                <w:color w:val="auto"/>
                <w:kern w:val="0"/>
                <w:sz w:val="20"/>
                <w:szCs w:val="20"/>
                <w:lang w:val="en-US" w:eastAsia="zh-CN"/>
              </w:rPr>
              <w:t>6.申请《外国人工作许可证》补办</w:t>
            </w:r>
          </w:p>
        </w:tc>
        <w:tc>
          <w:tcPr>
            <w:tcW w:w="1076" w:type="dxa"/>
            <w:tcBorders>
              <w:top w:val="single" w:color="auto" w:sz="4" w:space="0"/>
              <w:left w:val="nil"/>
              <w:bottom w:val="single" w:color="auto" w:sz="4" w:space="0"/>
              <w:right w:val="single" w:color="auto" w:sz="4" w:space="0"/>
            </w:tcBorders>
            <w:shd w:val="clear" w:color="auto" w:fill="auto"/>
            <w:vAlign w:val="center"/>
          </w:tcPr>
          <w:p w14:paraId="4B402D1D">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color w:val="auto"/>
                <w:sz w:val="20"/>
                <w:szCs w:val="20"/>
              </w:rPr>
              <w:t>设区市</w:t>
            </w:r>
            <w:r>
              <w:rPr>
                <w:rFonts w:hint="eastAsia" w:eastAsia="仿宋_GB2312" w:cs="仿宋_GB2312"/>
                <w:snapToGrid w:val="0"/>
                <w:color w:val="auto"/>
                <w:sz w:val="20"/>
                <w:szCs w:val="20"/>
                <w:lang w:eastAsia="zh-CN"/>
              </w:rPr>
              <w:t>、</w:t>
            </w:r>
            <w:r>
              <w:rPr>
                <w:rFonts w:hint="eastAsia" w:ascii="仿宋_GB2312" w:eastAsia="仿宋_GB2312" w:cs="宋体"/>
                <w:color w:val="auto"/>
                <w:kern w:val="0"/>
                <w:sz w:val="20"/>
                <w:szCs w:val="20"/>
              </w:rPr>
              <w:t>中国（广西）自由贸易试验区钦州港片区管理委员会</w:t>
            </w:r>
          </w:p>
        </w:tc>
        <w:tc>
          <w:tcPr>
            <w:tcW w:w="6101" w:type="dxa"/>
            <w:tcBorders>
              <w:top w:val="single" w:color="auto" w:sz="4" w:space="0"/>
              <w:left w:val="nil"/>
              <w:bottom w:val="single" w:color="auto" w:sz="4" w:space="0"/>
              <w:right w:val="single" w:color="auto" w:sz="4" w:space="0"/>
            </w:tcBorders>
            <w:shd w:val="clear" w:color="auto" w:fill="auto"/>
            <w:vAlign w:val="center"/>
          </w:tcPr>
          <w:p w14:paraId="3A6234AA">
            <w:pPr>
              <w:pStyle w:val="20"/>
              <w:snapToGrid w:val="0"/>
              <w:spacing w:line="280" w:lineRule="atLeast"/>
              <w:jc w:val="center"/>
              <w:rPr>
                <w:rFonts w:ascii="仿宋_GB2312" w:eastAsia="仿宋_GB2312"/>
                <w:color w:val="auto"/>
                <w:sz w:val="20"/>
                <w:szCs w:val="20"/>
              </w:rPr>
            </w:pPr>
            <w:r>
              <w:rPr>
                <w:rFonts w:hint="eastAsia" w:ascii="仿宋_GB2312" w:eastAsia="仿宋_GB2312"/>
                <w:color w:val="auto"/>
                <w:sz w:val="20"/>
                <w:szCs w:val="20"/>
              </w:rPr>
              <w:t>1.【法律】《中华人民共和国出境入境管理法》第四十一条：外国人在中国境内工作，应当按照规定取得工作许可和工作类居留证件。</w:t>
            </w:r>
          </w:p>
          <w:p w14:paraId="60278EF3">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2.【行政法规】《中华人民共和国外国人入境出境管理条例》第七条：申请R字签证，应当符合中国政府有关主管部门确定的外国高层次人才和急需紧缺专门人才的引进条件和要求，并按照规定提交相应的证明材料。申请Z字签证，应当按照规定提交工作许可等证明材料。</w:t>
            </w:r>
          </w:p>
          <w:p w14:paraId="16231C48">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第十六条：工作类居留证件，应当提交工作许可等证明材料；属于国家需要的外国高层次人才和急需紧缺专门人才的，应当按照规定提交有关证明材料。</w:t>
            </w:r>
          </w:p>
          <w:p w14:paraId="1B4A2407">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3.【行政法规】《国务院对确需保留的行政审批项目设定行政许可的决定》（2004年国务院令第412号，2009年1月29日予以修改）第93项：外国人入境就业许可。第443项：外国专家来华工作许可。</w:t>
            </w:r>
          </w:p>
          <w:p w14:paraId="3322A5E1">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4.【规范性文件】国务院审改办《关于整合外国人来华工作许可事项意见的函》（审改办函〔2015〕95号）同意将“外国人入境就业许可”和“外国专家来华工作许可”整合为“外国人来华工作许可”。</w:t>
            </w:r>
          </w:p>
          <w:p w14:paraId="57FEA353">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5.【规范性文件】《广西壮族自治区人民政府关于印发行政许可事项清单的通知》（桂政发〔2022〕19号）附件1第66项明确“外国人来华工作许可”实施主体为“设区的市级人民政府指定部门”。</w:t>
            </w:r>
          </w:p>
          <w:p w14:paraId="11546A26">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6.【规范性文件】 《国家外国专家局关于印发外国人来华工作许可服务指南（暂行）的通知》（外专发〔2017〕36号）第四点：受理机构：省级人民政府和新疆生产建设兵团外国人工作管理部门及其授权的地方人民政府外国人工作管理部门及委托的机构。五、决定机构：省级人民政府和新疆生产建设兵团外国人工作管理部门及其授权的地方人民政府外国人工作管理部门。</w:t>
            </w:r>
          </w:p>
          <w:p w14:paraId="68ED81E9">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7.【规范性文件】自治区人力资源和社会保障厅《关于授权外国人来华工作许可的通知》（桂人社函〔2017〕513号）第一点：自2017年5月1日起，外国人来华工作许可由各市人力资源和社会保障局负责审批，自治区外国专家局负责政策解释和指导。</w:t>
            </w:r>
          </w:p>
          <w:p w14:paraId="40970E76">
            <w:pPr>
              <w:pStyle w:val="20"/>
              <w:jc w:val="center"/>
              <w:rPr>
                <w:rFonts w:hint="eastAsia" w:ascii="仿宋_GB2312" w:eastAsia="仿宋_GB2312"/>
                <w:color w:val="auto"/>
                <w:sz w:val="20"/>
                <w:szCs w:val="20"/>
              </w:rPr>
            </w:pPr>
            <w:r>
              <w:rPr>
                <w:rFonts w:hint="eastAsia" w:ascii="仿宋_GB2312" w:eastAsia="仿宋_GB2312"/>
                <w:color w:val="auto"/>
                <w:sz w:val="20"/>
                <w:szCs w:val="20"/>
              </w:rPr>
              <w:t>8.【规范性文件】《自治区审改办关于进一步明确部分行政许可事项具体实施层级和部门的通知》（桂审改办发〔2018〕6号）附件1第11条：外国人来华工作许可”具体审批层级和部门名单为：14个市人力资源社会保障局</w:t>
            </w:r>
            <w:r>
              <w:rPr>
                <w:rFonts w:hint="eastAsia" w:ascii="仿宋_GB2312" w:eastAsia="仿宋_GB2312"/>
                <w:color w:val="auto"/>
                <w:sz w:val="20"/>
                <w:szCs w:val="20"/>
                <w:lang w:eastAsia="zh-CN"/>
              </w:rPr>
              <w:t>、</w:t>
            </w:r>
            <w:r>
              <w:rPr>
                <w:rFonts w:hint="eastAsia" w:ascii="仿宋_GB2312" w:eastAsia="仿宋_GB2312"/>
                <w:color w:val="auto"/>
                <w:sz w:val="20"/>
                <w:szCs w:val="20"/>
              </w:rPr>
              <w:t>中国（广西）自由贸易试验区钦州港片区管理委员会。</w:t>
            </w:r>
          </w:p>
          <w:p w14:paraId="09649786">
            <w:pPr>
              <w:pStyle w:val="20"/>
              <w:jc w:val="center"/>
              <w:rPr>
                <w:rFonts w:hint="eastAsia" w:eastAsia="仿宋_GB2312" w:cs="仿宋_GB2312"/>
                <w:snapToGrid w:val="0"/>
                <w:sz w:val="20"/>
                <w:szCs w:val="20"/>
              </w:rPr>
            </w:pPr>
            <w:r>
              <w:rPr>
                <w:rFonts w:hint="eastAsia" w:ascii="仿宋_GB2312" w:eastAsia="仿宋_GB2312"/>
                <w:color w:val="auto"/>
                <w:sz w:val="20"/>
                <w:szCs w:val="20"/>
              </w:rPr>
              <w:t>9.《广西壮族自治区科学技术厅关于对拓展中国（广西）自由贸易试验区钦州港片区外国人来华工作许可实施范围问题的复函》（桂科智函〔2021〕7号），同意中国（广西）自由贸易试验区钦州港片区管理委员会将外国人来华工作许可事项实施范围由原来的中国——马来西亚产业园拓展至钦州保税港区、钦州港经济技术开发区。即实施范围为：中国——马来西亚产业园、钦州保税港区和钦州港经济技术开发区三个片区。</w:t>
            </w:r>
          </w:p>
        </w:tc>
        <w:tc>
          <w:tcPr>
            <w:tcW w:w="4513" w:type="dxa"/>
            <w:tcBorders>
              <w:top w:val="single" w:color="auto" w:sz="4" w:space="0"/>
              <w:left w:val="nil"/>
              <w:bottom w:val="single" w:color="auto" w:sz="4" w:space="0"/>
              <w:right w:val="single" w:color="auto" w:sz="4" w:space="0"/>
            </w:tcBorders>
            <w:shd w:val="clear" w:color="auto" w:fill="auto"/>
            <w:vAlign w:val="center"/>
          </w:tcPr>
          <w:p w14:paraId="1A3D9BEA">
            <w:pPr>
              <w:pStyle w:val="20"/>
              <w:snapToGrid w:val="0"/>
              <w:spacing w:line="260" w:lineRule="atLeast"/>
              <w:jc w:val="center"/>
              <w:rPr>
                <w:rFonts w:ascii="仿宋_GB2312" w:eastAsia="仿宋_GB2312"/>
                <w:color w:val="auto"/>
                <w:sz w:val="20"/>
                <w:szCs w:val="20"/>
              </w:rPr>
            </w:pPr>
            <w:r>
              <w:rPr>
                <w:rFonts w:hint="eastAsia" w:ascii="仿宋_GB2312" w:eastAsia="仿宋_GB2312"/>
                <w:color w:val="auto"/>
                <w:sz w:val="20"/>
                <w:szCs w:val="20"/>
              </w:rPr>
              <w:t>1.受理责任：公示应当提交的材料，一次性告知补正材料，依法受理或不予受理（不予受理应当告知理由）。</w:t>
            </w:r>
          </w:p>
          <w:p w14:paraId="34604E2E">
            <w:pPr>
              <w:pStyle w:val="20"/>
              <w:snapToGrid w:val="0"/>
              <w:spacing w:line="260" w:lineRule="atLeast"/>
              <w:jc w:val="center"/>
              <w:rPr>
                <w:rFonts w:hint="eastAsia" w:ascii="仿宋_GB2312" w:eastAsia="仿宋_GB2312"/>
                <w:color w:val="auto"/>
                <w:sz w:val="20"/>
                <w:szCs w:val="20"/>
              </w:rPr>
            </w:pPr>
            <w:r>
              <w:rPr>
                <w:rFonts w:hint="eastAsia" w:ascii="仿宋_GB2312" w:eastAsia="仿宋_GB2312"/>
                <w:color w:val="auto"/>
                <w:sz w:val="20"/>
                <w:szCs w:val="20"/>
              </w:rPr>
              <w:t>2.审查责任：审查申请材料。</w:t>
            </w:r>
          </w:p>
          <w:p w14:paraId="4860623C">
            <w:pPr>
              <w:pStyle w:val="20"/>
              <w:snapToGrid w:val="0"/>
              <w:spacing w:line="260" w:lineRule="atLeast"/>
              <w:jc w:val="center"/>
              <w:rPr>
                <w:rFonts w:hint="eastAsia" w:ascii="仿宋_GB2312" w:eastAsia="仿宋_GB2312"/>
                <w:color w:val="auto"/>
                <w:sz w:val="20"/>
                <w:szCs w:val="20"/>
              </w:rPr>
            </w:pPr>
            <w:r>
              <w:rPr>
                <w:rFonts w:hint="eastAsia" w:ascii="仿宋_GB2312" w:eastAsia="仿宋_GB2312"/>
                <w:color w:val="auto"/>
                <w:sz w:val="20"/>
                <w:szCs w:val="20"/>
              </w:rPr>
              <w:t>3.决定责任：作出行政许可或者不予行政许可决定，法定告知（不予许可的应当书面告知理由）。</w:t>
            </w:r>
          </w:p>
          <w:p w14:paraId="3906FB43">
            <w:pPr>
              <w:pStyle w:val="20"/>
              <w:snapToGrid w:val="0"/>
              <w:spacing w:line="260" w:lineRule="atLeast"/>
              <w:jc w:val="center"/>
              <w:rPr>
                <w:rFonts w:hint="eastAsia" w:ascii="仿宋_GB2312" w:eastAsia="仿宋_GB2312"/>
                <w:color w:val="auto"/>
                <w:sz w:val="20"/>
                <w:szCs w:val="20"/>
              </w:rPr>
            </w:pPr>
            <w:r>
              <w:rPr>
                <w:rFonts w:hint="eastAsia" w:ascii="仿宋_GB2312" w:eastAsia="仿宋_GB2312"/>
                <w:color w:val="auto"/>
                <w:sz w:val="20"/>
                <w:szCs w:val="20"/>
              </w:rPr>
              <w:t>4.送达责任：准予许可的，制发外国人工作许可证；不予许可的，送达不予许可决定书。</w:t>
            </w:r>
          </w:p>
          <w:p w14:paraId="15C1AEAB">
            <w:pPr>
              <w:pStyle w:val="20"/>
              <w:snapToGrid w:val="0"/>
              <w:spacing w:line="260" w:lineRule="atLeast"/>
              <w:jc w:val="center"/>
              <w:rPr>
                <w:rFonts w:hint="eastAsia" w:ascii="仿宋_GB2312" w:eastAsia="仿宋_GB2312"/>
                <w:color w:val="auto"/>
                <w:sz w:val="20"/>
                <w:szCs w:val="20"/>
              </w:rPr>
            </w:pPr>
            <w:r>
              <w:rPr>
                <w:rFonts w:hint="eastAsia" w:ascii="仿宋_GB2312" w:eastAsia="仿宋_GB2312"/>
                <w:color w:val="auto"/>
                <w:sz w:val="20"/>
                <w:szCs w:val="20"/>
              </w:rPr>
              <w:t>5.监管责任：建立实施监督检查的运行机制和管理制度，开展定期和不定期检查。</w:t>
            </w:r>
          </w:p>
          <w:p w14:paraId="41B9D134">
            <w:pPr>
              <w:pStyle w:val="20"/>
              <w:jc w:val="center"/>
              <w:rPr>
                <w:rFonts w:hint="eastAsia" w:eastAsia="仿宋_GB2312" w:cs="仿宋_GB2312"/>
                <w:snapToGrid w:val="0"/>
                <w:sz w:val="20"/>
                <w:szCs w:val="20"/>
              </w:rPr>
            </w:pPr>
            <w:r>
              <w:rPr>
                <w:rFonts w:hint="eastAsia" w:ascii="仿宋_GB2312" w:eastAsia="仿宋_GB2312"/>
                <w:color w:val="auto"/>
                <w:sz w:val="20"/>
                <w:szCs w:val="20"/>
              </w:rPr>
              <w:t>6.其他法律法规规章文件规定应履行的责任。</w:t>
            </w:r>
          </w:p>
        </w:tc>
        <w:tc>
          <w:tcPr>
            <w:tcW w:w="6315" w:type="dxa"/>
            <w:tcBorders>
              <w:top w:val="single" w:color="auto" w:sz="4" w:space="0"/>
              <w:left w:val="nil"/>
              <w:bottom w:val="single" w:color="auto" w:sz="4" w:space="0"/>
              <w:right w:val="single" w:color="auto" w:sz="4" w:space="0"/>
            </w:tcBorders>
            <w:shd w:val="clear" w:color="auto" w:fill="auto"/>
            <w:vAlign w:val="center"/>
          </w:tcPr>
          <w:p w14:paraId="3A4BC595">
            <w:pPr>
              <w:pStyle w:val="20"/>
              <w:snapToGrid w:val="0"/>
              <w:spacing w:line="280" w:lineRule="atLeast"/>
              <w:jc w:val="center"/>
              <w:rPr>
                <w:rFonts w:ascii="仿宋_GB2312" w:eastAsia="仿宋_GB2312"/>
                <w:color w:val="auto"/>
                <w:sz w:val="20"/>
                <w:szCs w:val="20"/>
              </w:rPr>
            </w:pPr>
            <w:r>
              <w:rPr>
                <w:rFonts w:hint="eastAsia" w:ascii="仿宋_GB2312" w:eastAsia="仿宋_GB2312"/>
                <w:color w:val="auto"/>
                <w:sz w:val="20"/>
                <w:szCs w:val="20"/>
              </w:rPr>
              <w:t>1.【法律】《中华人民共和国行政许可法》 第三十条：行政机关应当将法律、法规、规章规定的有关行政许可的事项、依据、条件、数量、程序、期限以及需要提交的全部材料的目录和申请书示范文本等在办公场所公示。</w:t>
            </w:r>
          </w:p>
          <w:p w14:paraId="3639EB32">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2.【法律】《中华人民共和国行政许可法》 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09631BE3">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0C6D7F0">
            <w:pPr>
              <w:pStyle w:val="20"/>
              <w:snapToGrid w:val="0"/>
              <w:spacing w:line="280" w:lineRule="atLeast"/>
              <w:jc w:val="center"/>
              <w:rPr>
                <w:rFonts w:hint="eastAsia" w:ascii="仿宋_GB2312" w:eastAsia="仿宋_GB2312"/>
                <w:color w:val="auto"/>
                <w:sz w:val="20"/>
                <w:szCs w:val="20"/>
              </w:rPr>
            </w:pPr>
            <w:r>
              <w:rPr>
                <w:rFonts w:hint="eastAsia" w:ascii="仿宋_GB2312" w:eastAsia="仿宋_GB2312"/>
                <w:color w:val="auto"/>
                <w:sz w:val="20"/>
                <w:szCs w:val="20"/>
              </w:rPr>
              <w:t>4.【法律】《中华人民共和国行政许可法》第四十四条：行政机关作出准予行政许可的决定，应当自作出决定之日起十日内向申请人颁发、送达行政许可证件，或者加贴标签、加盖检验、检测、检疫印章。</w:t>
            </w:r>
          </w:p>
          <w:p w14:paraId="5BEBF0C3">
            <w:pPr>
              <w:pStyle w:val="20"/>
              <w:snapToGrid w:val="0"/>
              <w:spacing w:line="260" w:lineRule="atLeast"/>
              <w:jc w:val="center"/>
              <w:rPr>
                <w:rFonts w:hint="eastAsia" w:eastAsia="仿宋_GB2312" w:cs="仿宋_GB2312"/>
                <w:snapToGrid w:val="0"/>
                <w:sz w:val="20"/>
                <w:szCs w:val="20"/>
              </w:rPr>
            </w:pPr>
            <w:r>
              <w:rPr>
                <w:rFonts w:hint="eastAsia" w:ascii="仿宋_GB2312" w:eastAsia="仿宋_GB2312"/>
                <w:color w:val="auto"/>
                <w:sz w:val="20"/>
                <w:szCs w:val="20"/>
              </w:rPr>
              <w:t>5.【规范性文件】《国家外国专家局 人力资源社会保障部 外交部 公安部关于全面实施外国人来华工作许可制度的通知》（外专发〔2017〕40号）三（四）加强事中事后监管。</w:t>
            </w:r>
          </w:p>
        </w:tc>
      </w:tr>
      <w:tr w14:paraId="1AA5AA87">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E4D1E33">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7</w:t>
            </w:r>
          </w:p>
        </w:tc>
        <w:tc>
          <w:tcPr>
            <w:tcW w:w="585" w:type="dxa"/>
            <w:tcBorders>
              <w:top w:val="single" w:color="auto" w:sz="4" w:space="0"/>
              <w:left w:val="nil"/>
              <w:bottom w:val="single" w:color="auto" w:sz="4" w:space="0"/>
              <w:right w:val="single" w:color="auto" w:sz="4" w:space="0"/>
            </w:tcBorders>
            <w:vAlign w:val="center"/>
          </w:tcPr>
          <w:p w14:paraId="38F403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p w14:paraId="6355CF1E">
            <w:pPr>
              <w:widowControl/>
              <w:adjustRightInd w:val="0"/>
              <w:snapToGrid w:val="0"/>
              <w:spacing w:line="300" w:lineRule="exact"/>
              <w:jc w:val="center"/>
              <w:rPr>
                <w:rFonts w:eastAsia="仿宋_GB2312" w:cs="仿宋_GB2312"/>
                <w:snapToGrid w:val="0"/>
                <w:sz w:val="20"/>
                <w:szCs w:val="20"/>
              </w:rPr>
            </w:pPr>
          </w:p>
        </w:tc>
        <w:tc>
          <w:tcPr>
            <w:tcW w:w="1243" w:type="dxa"/>
            <w:tcBorders>
              <w:top w:val="single" w:color="auto" w:sz="4" w:space="0"/>
              <w:left w:val="nil"/>
              <w:bottom w:val="single" w:color="auto" w:sz="4" w:space="0"/>
              <w:right w:val="single" w:color="auto" w:sz="4" w:space="0"/>
            </w:tcBorders>
            <w:vAlign w:val="center"/>
          </w:tcPr>
          <w:p w14:paraId="76786D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对用人单位违反法律法规规定延长劳动者工作时间的处罚</w:t>
            </w:r>
          </w:p>
        </w:tc>
        <w:tc>
          <w:tcPr>
            <w:tcW w:w="1522" w:type="dxa"/>
            <w:tcBorders>
              <w:top w:val="single" w:color="auto" w:sz="4" w:space="0"/>
              <w:left w:val="nil"/>
              <w:bottom w:val="single" w:color="auto" w:sz="4" w:space="0"/>
              <w:right w:val="single" w:color="auto" w:sz="4" w:space="0"/>
            </w:tcBorders>
            <w:vAlign w:val="center"/>
          </w:tcPr>
          <w:p w14:paraId="3AC9E324">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7FB01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6C790F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1.【法律】《中华人民共和国劳动法》（1994年7月5日主席令第28号，2018年12月29日第二次修正）第九十条： 用人单位违反本法规定，延长劳动者工作时间的，由劳动行政部门给予警告，责令改正，并可以处以罚款。</w:t>
            </w:r>
          </w:p>
          <w:p w14:paraId="6A51BE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二十五条：用人单位违反劳动保障法律、法规或者规章延长劳动者工作时间的，由劳动保障行政部门给予警告，责令限期改正，并可以按照受侵害的劳动者每人100元以上500元以下的标准计算，处以罚款。</w:t>
            </w:r>
          </w:p>
        </w:tc>
        <w:tc>
          <w:tcPr>
            <w:tcW w:w="4513" w:type="dxa"/>
            <w:tcBorders>
              <w:top w:val="single" w:color="auto" w:sz="4" w:space="0"/>
              <w:left w:val="nil"/>
              <w:bottom w:val="single" w:color="auto" w:sz="4" w:space="0"/>
              <w:right w:val="single" w:color="auto" w:sz="4" w:space="0"/>
            </w:tcBorders>
            <w:vAlign w:val="center"/>
          </w:tcPr>
          <w:p w14:paraId="0FA657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4E1F2E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6F96D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6F052F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110813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66C4EC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754403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6FA84A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p w14:paraId="52E7C8CF">
            <w:pPr>
              <w:widowControl/>
              <w:adjustRightInd w:val="0"/>
              <w:snapToGrid w:val="0"/>
              <w:spacing w:line="300" w:lineRule="exact"/>
              <w:jc w:val="center"/>
              <w:rPr>
                <w:rFonts w:eastAsia="仿宋_GB2312" w:cs="仿宋_GB2312"/>
                <w:snapToGrid w:val="0"/>
                <w:sz w:val="20"/>
                <w:szCs w:val="20"/>
              </w:rPr>
            </w:pPr>
          </w:p>
        </w:tc>
        <w:tc>
          <w:tcPr>
            <w:tcW w:w="6315" w:type="dxa"/>
            <w:tcBorders>
              <w:top w:val="single" w:color="auto" w:sz="4" w:space="0"/>
              <w:left w:val="nil"/>
              <w:bottom w:val="single" w:color="auto" w:sz="4" w:space="0"/>
              <w:right w:val="single" w:color="auto" w:sz="4" w:space="0"/>
            </w:tcBorders>
            <w:vAlign w:val="center"/>
          </w:tcPr>
          <w:p w14:paraId="5A1EB50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2B02F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E5C5B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0EC417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CD9E4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97BFB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FE271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6A727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538BC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1BDC0C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7132A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455DB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1B98B8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545233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4726C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3FE4475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079089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3395B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6D81D0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5BA09F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54ED8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315ADC5">
        <w:tblPrEx>
          <w:tblCellMar>
            <w:top w:w="28" w:type="dxa"/>
            <w:left w:w="28" w:type="dxa"/>
            <w:bottom w:w="28" w:type="dxa"/>
            <w:right w:w="28" w:type="dxa"/>
          </w:tblCellMar>
        </w:tblPrEx>
        <w:trPr>
          <w:trHeight w:val="4392" w:hRule="atLeast"/>
          <w:jc w:val="center"/>
        </w:trPr>
        <w:tc>
          <w:tcPr>
            <w:tcW w:w="531" w:type="dxa"/>
            <w:tcBorders>
              <w:top w:val="single" w:color="auto" w:sz="4" w:space="0"/>
              <w:left w:val="nil"/>
              <w:bottom w:val="single" w:color="auto" w:sz="4" w:space="0"/>
              <w:right w:val="single" w:color="auto" w:sz="4" w:space="0"/>
            </w:tcBorders>
            <w:vAlign w:val="center"/>
          </w:tcPr>
          <w:p w14:paraId="02B51789">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8</w:t>
            </w:r>
          </w:p>
        </w:tc>
        <w:tc>
          <w:tcPr>
            <w:tcW w:w="585" w:type="dxa"/>
            <w:tcBorders>
              <w:top w:val="single" w:color="auto" w:sz="4" w:space="0"/>
              <w:left w:val="single" w:color="auto" w:sz="4" w:space="0"/>
              <w:bottom w:val="single" w:color="auto" w:sz="4" w:space="0"/>
              <w:right w:val="single" w:color="auto" w:sz="4" w:space="0"/>
            </w:tcBorders>
            <w:vAlign w:val="center"/>
          </w:tcPr>
          <w:p w14:paraId="6CBB38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single" w:color="auto" w:sz="4" w:space="0"/>
              <w:bottom w:val="single" w:color="auto" w:sz="4" w:space="0"/>
              <w:right w:val="single" w:color="auto" w:sz="4" w:space="0"/>
            </w:tcBorders>
            <w:vAlign w:val="center"/>
          </w:tcPr>
          <w:p w14:paraId="01E0B7F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对无理抗拒、阻挠劳动保障行政部门实施劳动保障监察的处罚</w:t>
            </w:r>
          </w:p>
        </w:tc>
        <w:tc>
          <w:tcPr>
            <w:tcW w:w="1522" w:type="dxa"/>
            <w:tcBorders>
              <w:top w:val="single" w:color="auto" w:sz="4" w:space="0"/>
              <w:left w:val="single" w:color="auto" w:sz="4" w:space="0"/>
              <w:bottom w:val="single" w:color="auto" w:sz="4" w:space="0"/>
              <w:right w:val="single" w:color="auto" w:sz="4" w:space="0"/>
            </w:tcBorders>
            <w:vAlign w:val="center"/>
          </w:tcPr>
          <w:p w14:paraId="067A3F76">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14:paraId="58110B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vMerge w:val="restart"/>
            <w:tcBorders>
              <w:top w:val="single" w:color="auto" w:sz="4" w:space="0"/>
              <w:left w:val="single" w:color="auto" w:sz="4" w:space="0"/>
              <w:bottom w:val="nil"/>
              <w:right w:val="single" w:color="auto" w:sz="4" w:space="0"/>
            </w:tcBorders>
            <w:vAlign w:val="center"/>
          </w:tcPr>
          <w:p w14:paraId="4DE998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1.【法律】《中华人民共和国劳动法》（1994年7月5日主席令第28号，2018年12月29日第二次修正）第一百零一条： 用人单位无理阻挠劳动行政部门、有关部门及其工作人员行使监督检查权，打击报复举报人员的，由劳动行政部门或者有关部门处以罚款；构成犯罪的，对责任人员依法追究刑事责任。</w:t>
            </w:r>
          </w:p>
          <w:p w14:paraId="1BBE9C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11月1日国务院令第423号公布）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c>
          <w:tcPr>
            <w:tcW w:w="4513" w:type="dxa"/>
            <w:vMerge w:val="restart"/>
            <w:tcBorders>
              <w:top w:val="single" w:color="auto" w:sz="4" w:space="0"/>
              <w:left w:val="single" w:color="auto" w:sz="4" w:space="0"/>
              <w:bottom w:val="nil"/>
              <w:right w:val="single" w:color="auto" w:sz="4" w:space="0"/>
            </w:tcBorders>
            <w:vAlign w:val="center"/>
          </w:tcPr>
          <w:p w14:paraId="28113F0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07B431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D0028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25837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669C4A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8C6F6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4F009D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A962C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vMerge w:val="restart"/>
            <w:tcBorders>
              <w:top w:val="single" w:color="auto" w:sz="4" w:space="0"/>
              <w:left w:val="single" w:color="auto" w:sz="4" w:space="0"/>
              <w:bottom w:val="nil"/>
              <w:right w:val="single" w:color="auto" w:sz="4" w:space="0"/>
            </w:tcBorders>
            <w:vAlign w:val="center"/>
          </w:tcPr>
          <w:p w14:paraId="2A3F8E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C6B08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16C3E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2F50D3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3A7B8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3D843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935FF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B2435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0832E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854022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4B3F7E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444F7C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46CC7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22EB67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FFF81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45E819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C9147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05D1B9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3A341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105C95A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D9F23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132DC75">
        <w:tblPrEx>
          <w:tblCellMar>
            <w:top w:w="28" w:type="dxa"/>
            <w:left w:w="28" w:type="dxa"/>
            <w:bottom w:w="28" w:type="dxa"/>
            <w:right w:w="28" w:type="dxa"/>
          </w:tblCellMar>
        </w:tblPrEx>
        <w:trPr>
          <w:trHeight w:val="4391"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13A0A57">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9</w:t>
            </w:r>
          </w:p>
        </w:tc>
        <w:tc>
          <w:tcPr>
            <w:tcW w:w="585" w:type="dxa"/>
            <w:tcBorders>
              <w:top w:val="single" w:color="auto" w:sz="4" w:space="0"/>
              <w:left w:val="single" w:color="auto" w:sz="4" w:space="0"/>
              <w:bottom w:val="single" w:color="auto" w:sz="4" w:space="0"/>
              <w:right w:val="single" w:color="auto" w:sz="4" w:space="0"/>
            </w:tcBorders>
            <w:vAlign w:val="center"/>
          </w:tcPr>
          <w:p w14:paraId="489828E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single" w:color="auto" w:sz="4" w:space="0"/>
              <w:bottom w:val="single" w:color="auto" w:sz="4" w:space="0"/>
              <w:right w:val="single" w:color="auto" w:sz="4" w:space="0"/>
            </w:tcBorders>
            <w:vAlign w:val="center"/>
          </w:tcPr>
          <w:p w14:paraId="21DAE6C4">
            <w:pPr>
              <w:pStyle w:val="3"/>
              <w:jc w:val="center"/>
            </w:pPr>
            <w:r>
              <w:rPr>
                <w:rFonts w:hint="eastAsia" w:ascii="Times New Roman" w:hAnsi="Times New Roman" w:eastAsia="仿宋_GB2312" w:cs="仿宋_GB2312"/>
                <w:b w:val="0"/>
                <w:snapToGrid w:val="0"/>
                <w:kern w:val="2"/>
                <w:sz w:val="20"/>
                <w:szCs w:val="20"/>
                <w:lang w:val="en-US" w:eastAsia="zh-CN" w:bidi="ar-SA"/>
              </w:rPr>
              <w:t>对不按照劳动保障行政部门的要求报送书面材料，隐瞒事实真相，出具伪证或者隐匿、毁灭证据的处</w:t>
            </w:r>
          </w:p>
        </w:tc>
        <w:tc>
          <w:tcPr>
            <w:tcW w:w="1522" w:type="dxa"/>
            <w:tcBorders>
              <w:top w:val="single" w:color="auto" w:sz="4" w:space="0"/>
              <w:left w:val="single" w:color="auto" w:sz="4" w:space="0"/>
              <w:bottom w:val="single" w:color="auto" w:sz="4" w:space="0"/>
              <w:right w:val="single" w:color="auto" w:sz="4" w:space="0"/>
            </w:tcBorders>
            <w:vAlign w:val="center"/>
          </w:tcPr>
          <w:p w14:paraId="68BA4BBD">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14:paraId="1ADDFC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vMerge w:val="continue"/>
            <w:tcBorders>
              <w:top w:val="nil"/>
              <w:left w:val="single" w:color="auto" w:sz="4" w:space="0"/>
              <w:bottom w:val="nil"/>
              <w:right w:val="single" w:color="auto" w:sz="4" w:space="0"/>
            </w:tcBorders>
            <w:vAlign w:val="center"/>
          </w:tcPr>
          <w:p w14:paraId="2603DAA3">
            <w:pPr>
              <w:widowControl/>
              <w:adjustRightInd w:val="0"/>
              <w:snapToGrid w:val="0"/>
              <w:spacing w:line="300" w:lineRule="exact"/>
              <w:jc w:val="center"/>
              <w:rPr>
                <w:rFonts w:eastAsia="仿宋_GB2312" w:cs="仿宋_GB2312"/>
                <w:snapToGrid w:val="0"/>
                <w:sz w:val="20"/>
                <w:szCs w:val="20"/>
              </w:rPr>
            </w:pPr>
          </w:p>
        </w:tc>
        <w:tc>
          <w:tcPr>
            <w:tcW w:w="4513" w:type="dxa"/>
            <w:vMerge w:val="continue"/>
            <w:tcBorders>
              <w:top w:val="nil"/>
              <w:left w:val="nil"/>
              <w:bottom w:val="nil"/>
              <w:right w:val="single" w:color="auto" w:sz="4" w:space="0"/>
            </w:tcBorders>
            <w:vAlign w:val="center"/>
          </w:tcPr>
          <w:p w14:paraId="1323C36E">
            <w:pPr>
              <w:widowControl/>
              <w:adjustRightInd w:val="0"/>
              <w:snapToGrid w:val="0"/>
              <w:spacing w:line="300" w:lineRule="exact"/>
              <w:jc w:val="center"/>
              <w:rPr>
                <w:rFonts w:eastAsia="仿宋_GB2312" w:cs="仿宋_GB2312"/>
                <w:snapToGrid w:val="0"/>
                <w:sz w:val="20"/>
                <w:szCs w:val="20"/>
              </w:rPr>
            </w:pPr>
          </w:p>
        </w:tc>
        <w:tc>
          <w:tcPr>
            <w:tcW w:w="6315" w:type="dxa"/>
            <w:vMerge w:val="continue"/>
            <w:tcBorders>
              <w:top w:val="nil"/>
              <w:left w:val="nil"/>
              <w:bottom w:val="nil"/>
              <w:right w:val="single" w:color="auto" w:sz="4" w:space="0"/>
            </w:tcBorders>
            <w:vAlign w:val="center"/>
          </w:tcPr>
          <w:p w14:paraId="2CD236DB">
            <w:pPr>
              <w:widowControl/>
              <w:adjustRightInd w:val="0"/>
              <w:snapToGrid w:val="0"/>
              <w:spacing w:line="300" w:lineRule="exact"/>
              <w:jc w:val="center"/>
              <w:rPr>
                <w:rFonts w:eastAsia="仿宋_GB2312" w:cs="仿宋_GB2312"/>
                <w:snapToGrid w:val="0"/>
                <w:sz w:val="20"/>
                <w:szCs w:val="20"/>
              </w:rPr>
            </w:pPr>
          </w:p>
        </w:tc>
      </w:tr>
      <w:tr w14:paraId="18621BC4">
        <w:tblPrEx>
          <w:tblCellMar>
            <w:top w:w="28" w:type="dxa"/>
            <w:left w:w="28" w:type="dxa"/>
            <w:bottom w:w="28" w:type="dxa"/>
            <w:right w:w="28" w:type="dxa"/>
          </w:tblCellMar>
        </w:tblPrEx>
        <w:trPr>
          <w:trHeight w:val="4007"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61220FD">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10</w:t>
            </w:r>
          </w:p>
        </w:tc>
        <w:tc>
          <w:tcPr>
            <w:tcW w:w="585" w:type="dxa"/>
            <w:tcBorders>
              <w:top w:val="single" w:color="auto" w:sz="4" w:space="0"/>
              <w:left w:val="single" w:color="auto" w:sz="4" w:space="0"/>
              <w:bottom w:val="single" w:color="auto" w:sz="4" w:space="0"/>
              <w:right w:val="single" w:color="auto" w:sz="4" w:space="0"/>
            </w:tcBorders>
            <w:vAlign w:val="center"/>
          </w:tcPr>
          <w:p w14:paraId="214AFF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single" w:color="auto" w:sz="4" w:space="0"/>
              <w:bottom w:val="single" w:color="auto" w:sz="4" w:space="0"/>
              <w:right w:val="single" w:color="auto" w:sz="4" w:space="0"/>
            </w:tcBorders>
            <w:vAlign w:val="center"/>
          </w:tcPr>
          <w:p w14:paraId="33F70C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对经劳动保障行政部门责令改正拒不改正，或者拒不履行劳动保障行政部门的行政处理决定的处罚</w:t>
            </w:r>
          </w:p>
        </w:tc>
        <w:tc>
          <w:tcPr>
            <w:tcW w:w="1522" w:type="dxa"/>
            <w:tcBorders>
              <w:top w:val="single" w:color="auto" w:sz="4" w:space="0"/>
              <w:left w:val="single" w:color="auto" w:sz="4" w:space="0"/>
              <w:bottom w:val="single" w:color="auto" w:sz="4" w:space="0"/>
              <w:right w:val="single" w:color="auto" w:sz="4" w:space="0"/>
            </w:tcBorders>
            <w:vAlign w:val="center"/>
          </w:tcPr>
          <w:p w14:paraId="509EF21B">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14:paraId="315B89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vMerge w:val="continue"/>
            <w:tcBorders>
              <w:top w:val="nil"/>
              <w:left w:val="nil"/>
              <w:bottom w:val="nil"/>
              <w:right w:val="single" w:color="auto" w:sz="4" w:space="0"/>
            </w:tcBorders>
            <w:vAlign w:val="center"/>
          </w:tcPr>
          <w:p w14:paraId="3B0CCD88">
            <w:pPr>
              <w:widowControl/>
              <w:adjustRightInd w:val="0"/>
              <w:snapToGrid w:val="0"/>
              <w:spacing w:line="300" w:lineRule="exact"/>
              <w:jc w:val="center"/>
              <w:rPr>
                <w:rFonts w:eastAsia="仿宋_GB2312" w:cs="仿宋_GB2312"/>
                <w:snapToGrid w:val="0"/>
                <w:sz w:val="20"/>
                <w:szCs w:val="20"/>
              </w:rPr>
            </w:pPr>
          </w:p>
        </w:tc>
        <w:tc>
          <w:tcPr>
            <w:tcW w:w="4513" w:type="dxa"/>
            <w:vMerge w:val="continue"/>
            <w:tcBorders>
              <w:top w:val="nil"/>
              <w:left w:val="nil"/>
              <w:bottom w:val="nil"/>
              <w:right w:val="single" w:color="auto" w:sz="4" w:space="0"/>
            </w:tcBorders>
            <w:vAlign w:val="center"/>
          </w:tcPr>
          <w:p w14:paraId="2CAB918E">
            <w:pPr>
              <w:widowControl/>
              <w:adjustRightInd w:val="0"/>
              <w:snapToGrid w:val="0"/>
              <w:spacing w:line="300" w:lineRule="exact"/>
              <w:jc w:val="center"/>
              <w:rPr>
                <w:rFonts w:eastAsia="仿宋_GB2312" w:cs="仿宋_GB2312"/>
                <w:snapToGrid w:val="0"/>
                <w:sz w:val="20"/>
                <w:szCs w:val="20"/>
              </w:rPr>
            </w:pPr>
          </w:p>
        </w:tc>
        <w:tc>
          <w:tcPr>
            <w:tcW w:w="6315" w:type="dxa"/>
            <w:vMerge w:val="continue"/>
            <w:tcBorders>
              <w:top w:val="nil"/>
              <w:left w:val="nil"/>
              <w:bottom w:val="nil"/>
              <w:right w:val="single" w:color="auto" w:sz="4" w:space="0"/>
            </w:tcBorders>
            <w:vAlign w:val="center"/>
          </w:tcPr>
          <w:p w14:paraId="38EC8A33">
            <w:pPr>
              <w:widowControl/>
              <w:adjustRightInd w:val="0"/>
              <w:snapToGrid w:val="0"/>
              <w:spacing w:line="300" w:lineRule="exact"/>
              <w:jc w:val="center"/>
              <w:rPr>
                <w:rFonts w:eastAsia="仿宋_GB2312" w:cs="仿宋_GB2312"/>
                <w:snapToGrid w:val="0"/>
                <w:sz w:val="20"/>
                <w:szCs w:val="20"/>
              </w:rPr>
            </w:pPr>
          </w:p>
        </w:tc>
      </w:tr>
      <w:tr w14:paraId="78FD050A">
        <w:tblPrEx>
          <w:tblCellMar>
            <w:top w:w="28" w:type="dxa"/>
            <w:left w:w="28" w:type="dxa"/>
            <w:bottom w:w="28" w:type="dxa"/>
            <w:right w:w="28" w:type="dxa"/>
          </w:tblCellMar>
        </w:tblPrEx>
        <w:trPr>
          <w:trHeight w:val="1255" w:hRule="atLeast"/>
          <w:jc w:val="center"/>
        </w:trPr>
        <w:tc>
          <w:tcPr>
            <w:tcW w:w="531" w:type="dxa"/>
            <w:tcBorders>
              <w:top w:val="single" w:color="auto" w:sz="4" w:space="0"/>
              <w:left w:val="single" w:color="auto" w:sz="4" w:space="0"/>
              <w:bottom w:val="single" w:color="000000" w:sz="4" w:space="0"/>
              <w:right w:val="single" w:color="auto" w:sz="4" w:space="0"/>
            </w:tcBorders>
            <w:vAlign w:val="center"/>
          </w:tcPr>
          <w:p w14:paraId="7669E024">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1</w:t>
            </w:r>
          </w:p>
        </w:tc>
        <w:tc>
          <w:tcPr>
            <w:tcW w:w="585" w:type="dxa"/>
            <w:tcBorders>
              <w:top w:val="single" w:color="auto" w:sz="4" w:space="0"/>
              <w:left w:val="nil"/>
              <w:bottom w:val="single" w:color="000000" w:sz="4" w:space="0"/>
              <w:right w:val="single" w:color="auto" w:sz="4" w:space="0"/>
            </w:tcBorders>
            <w:vAlign w:val="center"/>
          </w:tcPr>
          <w:p w14:paraId="5F4D25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single" w:color="auto" w:sz="4" w:space="0"/>
              <w:bottom w:val="single" w:color="000000" w:sz="4" w:space="0"/>
              <w:right w:val="single" w:color="auto" w:sz="4" w:space="0"/>
            </w:tcBorders>
            <w:vAlign w:val="center"/>
          </w:tcPr>
          <w:p w14:paraId="254241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对打击报复举报人、投诉人的处罚</w:t>
            </w:r>
          </w:p>
        </w:tc>
        <w:tc>
          <w:tcPr>
            <w:tcW w:w="1522" w:type="dxa"/>
            <w:tcBorders>
              <w:top w:val="single" w:color="auto" w:sz="4" w:space="0"/>
              <w:left w:val="single" w:color="auto" w:sz="4" w:space="0"/>
              <w:bottom w:val="single" w:color="000000" w:sz="4" w:space="0"/>
              <w:right w:val="single" w:color="auto" w:sz="4" w:space="0"/>
            </w:tcBorders>
            <w:vAlign w:val="center"/>
          </w:tcPr>
          <w:p w14:paraId="3FA90471">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single" w:color="auto" w:sz="4" w:space="0"/>
              <w:bottom w:val="single" w:color="000000" w:sz="4" w:space="0"/>
              <w:right w:val="single" w:color="auto" w:sz="4" w:space="0"/>
            </w:tcBorders>
            <w:vAlign w:val="center"/>
          </w:tcPr>
          <w:p w14:paraId="703877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vMerge w:val="continue"/>
            <w:tcBorders>
              <w:top w:val="nil"/>
              <w:left w:val="nil"/>
              <w:bottom w:val="single" w:color="000000" w:sz="4" w:space="0"/>
              <w:right w:val="single" w:color="auto" w:sz="4" w:space="0"/>
            </w:tcBorders>
            <w:vAlign w:val="center"/>
          </w:tcPr>
          <w:p w14:paraId="4ED49C9A">
            <w:pPr>
              <w:widowControl/>
              <w:adjustRightInd w:val="0"/>
              <w:snapToGrid w:val="0"/>
              <w:spacing w:line="300" w:lineRule="exact"/>
              <w:jc w:val="center"/>
              <w:rPr>
                <w:rFonts w:eastAsia="仿宋_GB2312" w:cs="仿宋_GB2312"/>
                <w:snapToGrid w:val="0"/>
                <w:sz w:val="20"/>
                <w:szCs w:val="20"/>
              </w:rPr>
            </w:pPr>
          </w:p>
        </w:tc>
        <w:tc>
          <w:tcPr>
            <w:tcW w:w="4513" w:type="dxa"/>
            <w:vMerge w:val="continue"/>
            <w:tcBorders>
              <w:top w:val="nil"/>
              <w:left w:val="nil"/>
              <w:bottom w:val="single" w:color="000000" w:sz="4" w:space="0"/>
              <w:right w:val="single" w:color="auto" w:sz="4" w:space="0"/>
            </w:tcBorders>
            <w:vAlign w:val="center"/>
          </w:tcPr>
          <w:p w14:paraId="72A7B0BA">
            <w:pPr>
              <w:widowControl/>
              <w:adjustRightInd w:val="0"/>
              <w:snapToGrid w:val="0"/>
              <w:spacing w:line="300" w:lineRule="exact"/>
              <w:jc w:val="center"/>
              <w:rPr>
                <w:rFonts w:eastAsia="仿宋_GB2312" w:cs="仿宋_GB2312"/>
                <w:snapToGrid w:val="0"/>
                <w:sz w:val="20"/>
                <w:szCs w:val="20"/>
              </w:rPr>
            </w:pPr>
          </w:p>
        </w:tc>
        <w:tc>
          <w:tcPr>
            <w:tcW w:w="6315" w:type="dxa"/>
            <w:vMerge w:val="continue"/>
            <w:tcBorders>
              <w:top w:val="nil"/>
              <w:left w:val="nil"/>
              <w:bottom w:val="single" w:color="000000" w:sz="4" w:space="0"/>
              <w:right w:val="single" w:color="auto" w:sz="4" w:space="0"/>
            </w:tcBorders>
            <w:vAlign w:val="center"/>
          </w:tcPr>
          <w:p w14:paraId="2DD176D5">
            <w:pPr>
              <w:widowControl/>
              <w:adjustRightInd w:val="0"/>
              <w:snapToGrid w:val="0"/>
              <w:spacing w:line="300" w:lineRule="exact"/>
              <w:jc w:val="center"/>
              <w:rPr>
                <w:rFonts w:eastAsia="仿宋_GB2312" w:cs="仿宋_GB2312"/>
                <w:snapToGrid w:val="0"/>
                <w:sz w:val="20"/>
                <w:szCs w:val="20"/>
              </w:rPr>
            </w:pPr>
          </w:p>
        </w:tc>
      </w:tr>
      <w:tr w14:paraId="20953ADE">
        <w:tblPrEx>
          <w:tblCellMar>
            <w:top w:w="28" w:type="dxa"/>
            <w:left w:w="28" w:type="dxa"/>
            <w:bottom w:w="28" w:type="dxa"/>
            <w:right w:w="28" w:type="dxa"/>
          </w:tblCellMar>
        </w:tblPrEx>
        <w:trPr>
          <w:trHeight w:val="774"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14:paraId="6A335BE8">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2</w:t>
            </w:r>
          </w:p>
        </w:tc>
        <w:tc>
          <w:tcPr>
            <w:tcW w:w="585" w:type="dxa"/>
            <w:tcBorders>
              <w:top w:val="single" w:color="000000" w:sz="4" w:space="0"/>
              <w:left w:val="single" w:color="000000" w:sz="4" w:space="0"/>
              <w:bottom w:val="single" w:color="000000" w:sz="4" w:space="0"/>
              <w:right w:val="single" w:color="000000" w:sz="4" w:space="0"/>
            </w:tcBorders>
            <w:vAlign w:val="center"/>
          </w:tcPr>
          <w:p w14:paraId="3BF186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000000" w:sz="4" w:space="0"/>
              <w:left w:val="single" w:color="000000" w:sz="4" w:space="0"/>
              <w:bottom w:val="single" w:color="000000" w:sz="4" w:space="0"/>
              <w:right w:val="single" w:color="000000" w:sz="4" w:space="0"/>
            </w:tcBorders>
            <w:vAlign w:val="center"/>
          </w:tcPr>
          <w:p w14:paraId="5DCB5F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对职业介绍机构、职业技能培训机构或者职业技能考核鉴定机构违反国家有关职业介绍、职业技能培训或者职业技能考核鉴定的规定的行为的处罚</w:t>
            </w:r>
          </w:p>
        </w:tc>
        <w:tc>
          <w:tcPr>
            <w:tcW w:w="1522" w:type="dxa"/>
            <w:tcBorders>
              <w:top w:val="single" w:color="000000" w:sz="4" w:space="0"/>
              <w:left w:val="single" w:color="000000" w:sz="4" w:space="0"/>
              <w:bottom w:val="single" w:color="000000" w:sz="4" w:space="0"/>
              <w:right w:val="single" w:color="000000" w:sz="4" w:space="0"/>
            </w:tcBorders>
            <w:vAlign w:val="center"/>
          </w:tcPr>
          <w:p w14:paraId="45422250">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64C57A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000000" w:sz="4" w:space="0"/>
              <w:left w:val="single" w:color="000000" w:sz="4" w:space="0"/>
              <w:bottom w:val="single" w:color="000000" w:sz="4" w:space="0"/>
              <w:right w:val="single" w:color="000000" w:sz="4" w:space="0"/>
            </w:tcBorders>
            <w:vAlign w:val="center"/>
          </w:tcPr>
          <w:p w14:paraId="6D0D25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劳动保障监察条例》（2004年11月1日国务院令第423号公布）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p>
        </w:tc>
        <w:tc>
          <w:tcPr>
            <w:tcW w:w="4513" w:type="dxa"/>
            <w:tcBorders>
              <w:top w:val="single" w:color="000000" w:sz="4" w:space="0"/>
              <w:left w:val="single" w:color="000000" w:sz="4" w:space="0"/>
              <w:bottom w:val="single" w:color="000000" w:sz="4" w:space="0"/>
              <w:right w:val="single" w:color="000000" w:sz="4" w:space="0"/>
            </w:tcBorders>
            <w:vAlign w:val="center"/>
          </w:tcPr>
          <w:p w14:paraId="280D2F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54A732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31E25F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D9762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4E71B8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61211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1037A5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66CF3B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000000" w:sz="4" w:space="0"/>
              <w:left w:val="single" w:color="000000" w:sz="4" w:space="0"/>
              <w:bottom w:val="single" w:color="000000" w:sz="4" w:space="0"/>
              <w:right w:val="single" w:color="000000" w:sz="4" w:space="0"/>
            </w:tcBorders>
            <w:vAlign w:val="center"/>
          </w:tcPr>
          <w:p w14:paraId="5ED683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EA884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2DA53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7A954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0014B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02DD2E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0FD5B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D78C1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6E671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8B7A2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7E310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4B15D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30D0D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81F6B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5C8F413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A465A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7ECF4D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2CAEF7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438E5B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4E802C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7389C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EE9D009">
        <w:tblPrEx>
          <w:tblCellMar>
            <w:top w:w="28" w:type="dxa"/>
            <w:left w:w="28" w:type="dxa"/>
            <w:bottom w:w="28" w:type="dxa"/>
            <w:right w:w="28" w:type="dxa"/>
          </w:tblCellMar>
        </w:tblPrEx>
        <w:trPr>
          <w:trHeight w:val="774" w:hRule="atLeast"/>
          <w:jc w:val="center"/>
        </w:trPr>
        <w:tc>
          <w:tcPr>
            <w:tcW w:w="531" w:type="dxa"/>
            <w:tcBorders>
              <w:top w:val="single" w:color="000000" w:sz="4" w:space="0"/>
              <w:left w:val="single" w:color="auto" w:sz="4" w:space="0"/>
              <w:bottom w:val="single" w:color="auto" w:sz="4" w:space="0"/>
              <w:right w:val="single" w:color="auto" w:sz="4" w:space="0"/>
            </w:tcBorders>
            <w:vAlign w:val="center"/>
          </w:tcPr>
          <w:p w14:paraId="0740E832">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3</w:t>
            </w:r>
          </w:p>
        </w:tc>
        <w:tc>
          <w:tcPr>
            <w:tcW w:w="585" w:type="dxa"/>
            <w:tcBorders>
              <w:top w:val="single" w:color="000000" w:sz="4" w:space="0"/>
              <w:left w:val="nil"/>
              <w:bottom w:val="single" w:color="auto" w:sz="4" w:space="0"/>
              <w:right w:val="single" w:color="auto" w:sz="4" w:space="0"/>
            </w:tcBorders>
            <w:vAlign w:val="center"/>
          </w:tcPr>
          <w:p w14:paraId="0A42B9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000000" w:sz="4" w:space="0"/>
              <w:left w:val="nil"/>
              <w:bottom w:val="single" w:color="auto" w:sz="4" w:space="0"/>
              <w:right w:val="single" w:color="auto" w:sz="4" w:space="0"/>
            </w:tcBorders>
            <w:vAlign w:val="center"/>
          </w:tcPr>
          <w:p w14:paraId="4452BE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对用人单位侵害女职工和未成年工合法权益的处罚</w:t>
            </w:r>
          </w:p>
        </w:tc>
        <w:tc>
          <w:tcPr>
            <w:tcW w:w="1522" w:type="dxa"/>
            <w:tcBorders>
              <w:top w:val="single" w:color="000000" w:sz="4" w:space="0"/>
              <w:left w:val="nil"/>
              <w:bottom w:val="single" w:color="auto" w:sz="4" w:space="0"/>
              <w:right w:val="single" w:color="auto" w:sz="4" w:space="0"/>
            </w:tcBorders>
            <w:vAlign w:val="center"/>
          </w:tcPr>
          <w:p w14:paraId="48EC2EDC">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000000" w:sz="4" w:space="0"/>
              <w:left w:val="nil"/>
              <w:bottom w:val="single" w:color="auto" w:sz="4" w:space="0"/>
              <w:right w:val="single" w:color="auto" w:sz="4" w:space="0"/>
            </w:tcBorders>
            <w:vAlign w:val="center"/>
          </w:tcPr>
          <w:p w14:paraId="4276C5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000000" w:sz="4" w:space="0"/>
              <w:left w:val="nil"/>
              <w:bottom w:val="single" w:color="auto" w:sz="4" w:space="0"/>
              <w:right w:val="single" w:color="auto" w:sz="4" w:space="0"/>
            </w:tcBorders>
            <w:vAlign w:val="center"/>
          </w:tcPr>
          <w:p w14:paraId="63DFD6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1.【法律】《中华人民共和国劳动法》（1994年7月5日主席令第28号，2018年12月29日第二次修正）第九十五条： 用人单位违反本法对女职工和未成年工的保护规定，侵害其合法权益的，由劳动行政部门责令改正，处以罚款；对女职工或者未成年工造成损害的，应当承担赔偿责任。</w:t>
            </w:r>
          </w:p>
          <w:p w14:paraId="39EE41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二十三条：用人单位有下列行为之一的，由劳动保障行政部门责令改正，按照受侵害的劳动者每人1000元以上5000元以下的标准计算，处以罚款：</w:t>
            </w:r>
          </w:p>
          <w:p w14:paraId="20D415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（一）安排女职工从事矿山井下劳动、国家规定的第四级体力劳动强度的劳动或者其他禁忌从事的劳动的；</w:t>
            </w:r>
          </w:p>
          <w:p w14:paraId="0F06CF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（二）安排女职工在经期从事高处、低温、冷水作业或者国家规定的第三级体力劳动强度的劳动的；</w:t>
            </w:r>
          </w:p>
          <w:p w14:paraId="4D0D44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（三）安排女职工在怀孕期间从事国家规定的第三级体力劳动强度的劳动或者孕期禁忌从事的劳动的；</w:t>
            </w:r>
          </w:p>
          <w:p w14:paraId="228B65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（四）安排怀孕7个月以上的女职工夜班劳动或者延长其工作时间的；</w:t>
            </w:r>
          </w:p>
          <w:p w14:paraId="4D7E8B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（五）女职工生育享受产假少于90天的；</w:t>
            </w:r>
          </w:p>
          <w:p w14:paraId="690D1E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（六）安排女职工在哺乳未满1周岁的婴儿期间从事国家规定的第三级体力劳动强度的劳动或者哺乳期禁忌从事的其他劳动，以及延长其工作时间或者安排其夜班劳动的；</w:t>
            </w:r>
          </w:p>
          <w:p w14:paraId="0DE645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（七）安排未成年工从事矿山井下、有毒有害、国家规定的第四级体力劳动强度的劳动或者其他禁忌从事的劳动的；</w:t>
            </w:r>
          </w:p>
          <w:p w14:paraId="59CC3C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（八）未对未成年工定期进行健康检查的。</w:t>
            </w:r>
          </w:p>
          <w:p w14:paraId="047BCF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女职工劳动保护特别规定》（2012年4月28日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p w14:paraId="2D259E6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第六条：……对怀孕7个月以上的女职工，用人单位不得延长劳动时间或者安排夜班劳动，并应当在劳动时间内安排一定的休息时间。……</w:t>
            </w:r>
          </w:p>
          <w:p w14:paraId="2663D9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条：女职工生育享受98天产假，其中产前可以休假15天；难产的，增加产假15天；生育多胞胎的，每多生育1个婴儿，增加产假15天。女职工怀孕未满4个月流产的，享受15天产假；怀孕满4个月流产的，享受42天产假。</w:t>
            </w:r>
          </w:p>
          <w:p w14:paraId="512DEF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第九条：对哺乳未满1周岁婴儿的女职工，用人单位不得延长劳动时间或者安排夜班劳动。……</w:t>
            </w:r>
          </w:p>
        </w:tc>
        <w:tc>
          <w:tcPr>
            <w:tcW w:w="4513" w:type="dxa"/>
            <w:tcBorders>
              <w:top w:val="single" w:color="000000" w:sz="4" w:space="0"/>
              <w:left w:val="nil"/>
              <w:bottom w:val="single" w:color="auto" w:sz="4" w:space="0"/>
              <w:right w:val="single" w:color="auto" w:sz="4" w:space="0"/>
            </w:tcBorders>
            <w:vAlign w:val="center"/>
          </w:tcPr>
          <w:p w14:paraId="2245BD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564B68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C74A7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01C830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7FC03B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0673B7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029935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7B4C78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000000" w:sz="4" w:space="0"/>
              <w:left w:val="nil"/>
              <w:bottom w:val="single" w:color="auto" w:sz="4" w:space="0"/>
              <w:right w:val="single" w:color="auto" w:sz="4" w:space="0"/>
            </w:tcBorders>
            <w:vAlign w:val="center"/>
          </w:tcPr>
          <w:p w14:paraId="7D46DE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037C5F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E2A4CC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5AEF7F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37A84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4249E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FE97C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8609E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1938B8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65A15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C44D5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2F6D08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D66E9C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0107E5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2E7248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2D71A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4A2DB3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94F14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22C25E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3FF77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0EE11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E6623D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A46C8EE">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4</w:t>
            </w:r>
          </w:p>
        </w:tc>
        <w:tc>
          <w:tcPr>
            <w:tcW w:w="585" w:type="dxa"/>
            <w:tcBorders>
              <w:top w:val="single" w:color="auto" w:sz="4" w:space="0"/>
              <w:left w:val="nil"/>
              <w:bottom w:val="single" w:color="auto" w:sz="4" w:space="0"/>
              <w:right w:val="single" w:color="auto" w:sz="4" w:space="0"/>
            </w:tcBorders>
            <w:vAlign w:val="center"/>
          </w:tcPr>
          <w:p w14:paraId="6335B9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7BCD35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对用人单位非法招用未满十六周岁的未成年人的处罚</w:t>
            </w:r>
          </w:p>
        </w:tc>
        <w:tc>
          <w:tcPr>
            <w:tcW w:w="1522" w:type="dxa"/>
            <w:tcBorders>
              <w:top w:val="single" w:color="auto" w:sz="4" w:space="0"/>
              <w:left w:val="nil"/>
              <w:bottom w:val="single" w:color="auto" w:sz="4" w:space="0"/>
              <w:right w:val="single" w:color="auto" w:sz="4" w:space="0"/>
            </w:tcBorders>
            <w:vAlign w:val="center"/>
          </w:tcPr>
          <w:p w14:paraId="38A30023">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63B3C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23D37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1.【法律】《中华人民共和国劳动法》（1994年7月5日主席令第28号，2018年12月29日第二次修正）第九十四条： 用人单位非法招用未满十六周岁的未成年人的，由劳动行政部门责令改正，处以罚款；情节严重的，由市场监督管理部门吊销营业执照。</w:t>
            </w:r>
          </w:p>
          <w:p w14:paraId="3088D8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2.【行政法规】《禁止使用童工规定》（2002年10月1日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  </w:t>
            </w:r>
          </w:p>
        </w:tc>
        <w:tc>
          <w:tcPr>
            <w:tcW w:w="4513" w:type="dxa"/>
            <w:tcBorders>
              <w:top w:val="single" w:color="auto" w:sz="4" w:space="0"/>
              <w:left w:val="nil"/>
              <w:bottom w:val="single" w:color="auto" w:sz="4" w:space="0"/>
              <w:right w:val="single" w:color="auto" w:sz="4" w:space="0"/>
            </w:tcBorders>
            <w:vAlign w:val="center"/>
          </w:tcPr>
          <w:p w14:paraId="01006E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7BB88F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66E82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461F8A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57FBB3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155E5F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2BCC9C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075D2A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54A06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0CCD4E7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F7C8B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04A6D3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C420F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938A5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EFADE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6BDF9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235AD3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6B97C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AA617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44EDD9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86415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1DE45C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4165BD6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4DEF2D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968FF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02E830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2FB713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128F7F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100AC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DC86037">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C9FF7A3">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15</w:t>
            </w:r>
          </w:p>
        </w:tc>
        <w:tc>
          <w:tcPr>
            <w:tcW w:w="585" w:type="dxa"/>
            <w:tcBorders>
              <w:top w:val="single" w:color="auto" w:sz="4" w:space="0"/>
              <w:left w:val="nil"/>
              <w:bottom w:val="single" w:color="auto" w:sz="4" w:space="0"/>
              <w:right w:val="single" w:color="auto" w:sz="4" w:space="0"/>
            </w:tcBorders>
            <w:vAlign w:val="center"/>
          </w:tcPr>
          <w:p w14:paraId="19F4FF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168C8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对单位或个人为不满16周岁的未成年人介绍就业的处罚</w:t>
            </w:r>
          </w:p>
        </w:tc>
        <w:tc>
          <w:tcPr>
            <w:tcW w:w="1522" w:type="dxa"/>
            <w:tcBorders>
              <w:top w:val="single" w:color="auto" w:sz="4" w:space="0"/>
              <w:left w:val="nil"/>
              <w:bottom w:val="single" w:color="auto" w:sz="4" w:space="0"/>
              <w:right w:val="single" w:color="auto" w:sz="4" w:space="0"/>
            </w:tcBorders>
            <w:vAlign w:val="center"/>
          </w:tcPr>
          <w:p w14:paraId="3B44678C">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2732C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793D1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4513" w:type="dxa"/>
            <w:tcBorders>
              <w:top w:val="single" w:color="auto" w:sz="4" w:space="0"/>
              <w:left w:val="nil"/>
              <w:bottom w:val="single" w:color="auto" w:sz="4" w:space="0"/>
              <w:right w:val="single" w:color="auto" w:sz="4" w:space="0"/>
            </w:tcBorders>
            <w:vAlign w:val="center"/>
          </w:tcPr>
          <w:p w14:paraId="5E104E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1F013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C50CE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49CEF9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2C58DB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052641F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7835630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592415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BA434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D5184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EBCB4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020022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506A8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994834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46493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9F69F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7A484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DB0A4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4A5EC54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EA3D0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772DB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42E2B2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41EEC6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154A5F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1F19E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8F4AF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A5C8E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90B64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40309D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90A7F4D">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4E00905">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6</w:t>
            </w:r>
          </w:p>
        </w:tc>
        <w:tc>
          <w:tcPr>
            <w:tcW w:w="585" w:type="dxa"/>
            <w:tcBorders>
              <w:top w:val="single" w:color="auto" w:sz="4" w:space="0"/>
              <w:left w:val="nil"/>
              <w:bottom w:val="single" w:color="auto" w:sz="4" w:space="0"/>
              <w:right w:val="single" w:color="auto" w:sz="4" w:space="0"/>
            </w:tcBorders>
            <w:vAlign w:val="center"/>
          </w:tcPr>
          <w:p w14:paraId="657EF5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30DFB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对用人单位未按规定保存录用登记材料或者伪造登记材料的处罚</w:t>
            </w:r>
          </w:p>
        </w:tc>
        <w:tc>
          <w:tcPr>
            <w:tcW w:w="1522" w:type="dxa"/>
            <w:tcBorders>
              <w:top w:val="single" w:color="auto" w:sz="4" w:space="0"/>
              <w:left w:val="nil"/>
              <w:bottom w:val="single" w:color="auto" w:sz="4" w:space="0"/>
              <w:right w:val="single" w:color="auto" w:sz="4" w:space="0"/>
            </w:tcBorders>
            <w:vAlign w:val="center"/>
          </w:tcPr>
          <w:p w14:paraId="0D7F9128">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F344EE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654B6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四条：用人单位招用人员时，必须核查被招用人员的身份证；对不满16周岁的未成年人，一律不得录用。用人单位录用人员的录用登记、核查材料应当妥善保管。</w:t>
            </w:r>
          </w:p>
          <w:p w14:paraId="49BEB3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第八条：用人单位未按照本规定第四条的规定保存录用登记材料，或者伪造录用登记材料的，由劳动保障行政部门处1万元的罚款。</w:t>
            </w:r>
          </w:p>
        </w:tc>
        <w:tc>
          <w:tcPr>
            <w:tcW w:w="4513" w:type="dxa"/>
            <w:tcBorders>
              <w:top w:val="single" w:color="auto" w:sz="4" w:space="0"/>
              <w:left w:val="nil"/>
              <w:bottom w:val="single" w:color="auto" w:sz="4" w:space="0"/>
              <w:right w:val="single" w:color="auto" w:sz="4" w:space="0"/>
            </w:tcBorders>
            <w:vAlign w:val="center"/>
          </w:tcPr>
          <w:p w14:paraId="1DD8D7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530FC2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24EE9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3D2254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782A92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2470BE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462638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586320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B6C9FB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379DB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5450EA1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1E6203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3B985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177E2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C8D83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A0CBEA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5B2FD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D1AC7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F4520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16415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011BA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004DA8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73960B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8EB9D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1EED5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C3FB7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287E7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519E8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62C9CB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20B3F0B5">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632BCBA">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7</w:t>
            </w:r>
          </w:p>
        </w:tc>
        <w:tc>
          <w:tcPr>
            <w:tcW w:w="585" w:type="dxa"/>
            <w:tcBorders>
              <w:top w:val="single" w:color="auto" w:sz="4" w:space="0"/>
              <w:left w:val="nil"/>
              <w:bottom w:val="single" w:color="auto" w:sz="4" w:space="0"/>
              <w:right w:val="single" w:color="auto" w:sz="4" w:space="0"/>
            </w:tcBorders>
            <w:vAlign w:val="center"/>
          </w:tcPr>
          <w:p w14:paraId="22796F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6A61A7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对无营业执照、被依法吊销营业执照的单位以及未依法登记、备案的单位使用童工或者介绍童工就业的处罚</w:t>
            </w:r>
          </w:p>
        </w:tc>
        <w:tc>
          <w:tcPr>
            <w:tcW w:w="1522" w:type="dxa"/>
            <w:tcBorders>
              <w:top w:val="single" w:color="auto" w:sz="4" w:space="0"/>
              <w:left w:val="nil"/>
              <w:bottom w:val="single" w:color="auto" w:sz="4" w:space="0"/>
              <w:right w:val="single" w:color="auto" w:sz="4" w:space="0"/>
            </w:tcBorders>
            <w:vAlign w:val="center"/>
          </w:tcPr>
          <w:p w14:paraId="4E4D971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2B545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4841D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67BA588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14:paraId="0F69B5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1FDA97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第八条：用人单位未按照本规定第四条的规定保存录用登记材料，或者伪造录用登记材料的，由劳动保障行政部门处1万元的罚款。</w:t>
            </w:r>
          </w:p>
          <w:p w14:paraId="2E2B1E0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p w14:paraId="0E0D3DB8">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797352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14CF1A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3E9F2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C40A1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63E73D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20ABD0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36037B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399559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0BA37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AF71B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51816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524A914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F3A38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2859B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25C1EC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8D8BC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707D7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18E539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A7754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16F152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AF694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1E150D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5C68C6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3B5A0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0EF044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6CDABB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CFA9E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0F169A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039D42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74B07A97">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2F33EE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18</w:t>
            </w:r>
          </w:p>
        </w:tc>
        <w:tc>
          <w:tcPr>
            <w:tcW w:w="585" w:type="dxa"/>
            <w:tcBorders>
              <w:top w:val="single" w:color="auto" w:sz="4" w:space="0"/>
              <w:left w:val="nil"/>
              <w:bottom w:val="single" w:color="auto" w:sz="4" w:space="0"/>
              <w:right w:val="single" w:color="auto" w:sz="4" w:space="0"/>
            </w:tcBorders>
            <w:vAlign w:val="center"/>
          </w:tcPr>
          <w:p w14:paraId="0102D7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C23C0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对用人单位制定的劳动规章制度违反法律、法规的处罚</w:t>
            </w:r>
          </w:p>
        </w:tc>
        <w:tc>
          <w:tcPr>
            <w:tcW w:w="1522" w:type="dxa"/>
            <w:tcBorders>
              <w:top w:val="single" w:color="auto" w:sz="4" w:space="0"/>
              <w:left w:val="nil"/>
              <w:bottom w:val="single" w:color="auto" w:sz="4" w:space="0"/>
              <w:right w:val="single" w:color="auto" w:sz="4" w:space="0"/>
            </w:tcBorders>
            <w:vAlign w:val="center"/>
          </w:tcPr>
          <w:p w14:paraId="169A8A2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A73C71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69B64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九条：用人单位制定的劳动规章制度违反法律、法规规定的，由劳动行政部门给予警告，责令改正；对劳动者造成损害的，应当承担赔偿责任。</w:t>
            </w:r>
          </w:p>
          <w:p w14:paraId="4B87E7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劳动合同法》（2007年6月29日通过，2012年12月28日主席令第73号修正）第八十条：用人单位直接涉及劳动者切身利益的规章制度违反法律、法规规定的，由劳动行政部门责令改正，给予警告；给劳动者造成损害的，应当承担赔偿责任。</w:t>
            </w:r>
          </w:p>
        </w:tc>
        <w:tc>
          <w:tcPr>
            <w:tcW w:w="4513" w:type="dxa"/>
            <w:tcBorders>
              <w:top w:val="single" w:color="auto" w:sz="4" w:space="0"/>
              <w:left w:val="nil"/>
              <w:bottom w:val="single" w:color="auto" w:sz="4" w:space="0"/>
              <w:right w:val="single" w:color="auto" w:sz="4" w:space="0"/>
            </w:tcBorders>
            <w:vAlign w:val="center"/>
          </w:tcPr>
          <w:p w14:paraId="2DD374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24A986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720F3A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55ECA8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2AD27F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34688C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7F95B2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489D8C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F687C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5351A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96F154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190EFD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9000D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76773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DC7E2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5D91FF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4BC0D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676B6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750E45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E3DA9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7454B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59DF960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4D5306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517E8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E85F1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0E1181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6AF4CA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CEAE7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3D0BC4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DE52B6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44A6D50">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1</w:t>
            </w:r>
            <w:r>
              <w:rPr>
                <w:rFonts w:hint="eastAsia" w:eastAsia="仿宋_GB2312" w:cs="仿宋_GB2312"/>
                <w:snapToGrid w:val="0"/>
                <w:sz w:val="20"/>
                <w:szCs w:val="20"/>
                <w:lang w:val="en-US" w:eastAsia="zh-CN"/>
              </w:rPr>
              <w:t>9</w:t>
            </w:r>
          </w:p>
        </w:tc>
        <w:tc>
          <w:tcPr>
            <w:tcW w:w="585" w:type="dxa"/>
            <w:tcBorders>
              <w:top w:val="single" w:color="auto" w:sz="4" w:space="0"/>
              <w:left w:val="nil"/>
              <w:bottom w:val="single" w:color="auto" w:sz="4" w:space="0"/>
              <w:right w:val="single" w:color="auto" w:sz="4" w:space="0"/>
            </w:tcBorders>
            <w:vAlign w:val="center"/>
          </w:tcPr>
          <w:p w14:paraId="71CC7D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05BB0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对缴费单位违反社会保险费征缴监督检查相关规定的处罚</w:t>
            </w:r>
          </w:p>
        </w:tc>
        <w:tc>
          <w:tcPr>
            <w:tcW w:w="1522" w:type="dxa"/>
            <w:tcBorders>
              <w:top w:val="single" w:color="auto" w:sz="4" w:space="0"/>
              <w:left w:val="nil"/>
              <w:bottom w:val="single" w:color="auto" w:sz="4" w:space="0"/>
              <w:right w:val="single" w:color="auto" w:sz="4" w:space="0"/>
            </w:tcBorders>
            <w:vAlign w:val="center"/>
          </w:tcPr>
          <w:p w14:paraId="0998EAB7">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06091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BD2D0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社会保险费征缴监督检查办法》（1999年劳动保障部令第3号公布）第五条：县级以上地方各级劳动保障行政部门对缴费单位监督检查的管辖范围，由省、自治区、直辖市劳动保障行政部门依照社会保险登记、缴费申报和缴费工作管理权限，制定具体规定。</w:t>
            </w:r>
          </w:p>
          <w:p w14:paraId="36EF7B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第十三条：对缴费单位有下列行为之一的，依照条例第十三条的规定，从欠缴之日起，按日加收千分之二的滞纳金，并对直接负责的主管人员和其他直接责任人员处以5000元以上20000元以下罚款：</w:t>
            </w:r>
          </w:p>
          <w:p w14:paraId="05B2FC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（一）因伪造、变造、故意毁灭有关帐册、材料造成社会保险费迟延缴纳的；</w:t>
            </w:r>
          </w:p>
          <w:p w14:paraId="7D2D83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（二）因不设帐册造成社会保险费迟延缴纳的；</w:t>
            </w:r>
          </w:p>
          <w:p w14:paraId="370A03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（三）因其他违法行为造成社会保险费迟延缴纳的。</w:t>
            </w:r>
          </w:p>
          <w:p w14:paraId="02679D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第十四条： 对缴费单位有下列行为之一的，应当给予警告，并可以处以5000元以下的罚款：</w:t>
            </w:r>
          </w:p>
          <w:p w14:paraId="3A9D34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（一）伪造、变造社会保险登记证的；</w:t>
            </w:r>
          </w:p>
          <w:p w14:paraId="037B94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（二）未按规定从缴费个人工资中代扣代缴社会保险费的；</w:t>
            </w:r>
          </w:p>
          <w:p w14:paraId="7404C9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（三）未按规定向职工公布本单位社会保险费缴纳情况的。</w:t>
            </w:r>
          </w:p>
          <w:p w14:paraId="776D2C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对上述违法行为的行政处罚，法律、法规另有规定的，从其规定。</w:t>
            </w:r>
          </w:p>
        </w:tc>
        <w:tc>
          <w:tcPr>
            <w:tcW w:w="4513" w:type="dxa"/>
            <w:tcBorders>
              <w:top w:val="single" w:color="auto" w:sz="4" w:space="0"/>
              <w:left w:val="nil"/>
              <w:bottom w:val="single" w:color="auto" w:sz="4" w:space="0"/>
              <w:right w:val="single" w:color="auto" w:sz="4" w:space="0"/>
            </w:tcBorders>
            <w:vAlign w:val="center"/>
          </w:tcPr>
          <w:p w14:paraId="578BE5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FD1396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06BA4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4AE65E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31B6D3F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68E572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40DDB6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9B93E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2084F8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5D9E9C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5F484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369CE6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537D3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97902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94F51C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1A9620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CA9E5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60D65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44C30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C4FCA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F9179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11A40B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835CB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241590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04B3B8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9AA9E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7BBC63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AE7AF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9C0141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7DAAAD2B">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D83F82C">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20</w:t>
            </w:r>
          </w:p>
        </w:tc>
        <w:tc>
          <w:tcPr>
            <w:tcW w:w="585" w:type="dxa"/>
            <w:tcBorders>
              <w:top w:val="single" w:color="auto" w:sz="4" w:space="0"/>
              <w:left w:val="nil"/>
              <w:bottom w:val="single" w:color="auto" w:sz="4" w:space="0"/>
              <w:right w:val="single" w:color="auto" w:sz="4" w:space="0"/>
            </w:tcBorders>
            <w:vAlign w:val="center"/>
          </w:tcPr>
          <w:p w14:paraId="7B0C966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A1D9B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对用人单位违反《劳动合同法》规定，以担保或者其他名义向劳动者收取财物和劳动者依法解除或者终止劳动合同，用人单位扣押劳动者档案或者其他物品的处罚</w:t>
            </w:r>
          </w:p>
        </w:tc>
        <w:tc>
          <w:tcPr>
            <w:tcW w:w="1522" w:type="dxa"/>
            <w:tcBorders>
              <w:top w:val="single" w:color="auto" w:sz="4" w:space="0"/>
              <w:left w:val="nil"/>
              <w:bottom w:val="single" w:color="auto" w:sz="4" w:space="0"/>
              <w:right w:val="single" w:color="auto" w:sz="4" w:space="0"/>
            </w:tcBorders>
            <w:vAlign w:val="center"/>
          </w:tcPr>
          <w:p w14:paraId="244EF84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46F59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B8339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【法律】《中华人民共和国劳动合同法》（2007年6月29日通过，2012年12月28日主席令第73号修正）第八十四条：……</w:t>
            </w:r>
            <w:r>
              <w:rPr>
                <w:rFonts w:eastAsia="仿宋_GB2312" w:cs="仿宋_GB2312"/>
                <w:snapToGrid w:val="0"/>
                <w:sz w:val="20"/>
                <w:szCs w:val="20"/>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5B599146">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劳动者依法解除或者终止劳动合同，用人单位扣押劳动者档案或者其他物品的，依照前款规定处罚。</w:t>
            </w:r>
          </w:p>
          <w:p w14:paraId="7424C7EE">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014C7AF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4DCD85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114FF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13B6E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620034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254459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1F75E3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662A5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67D9C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22226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DF2B8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B19D0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6738F6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233D0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6095F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994C3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7358C6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D06BB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050A0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9AC8F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D2979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90E8A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40D437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6A5268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7D4636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EB84E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CA43E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67CC3C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1ABA9A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05189E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582AA12">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21</w:t>
            </w:r>
          </w:p>
        </w:tc>
        <w:tc>
          <w:tcPr>
            <w:tcW w:w="585" w:type="dxa"/>
            <w:tcBorders>
              <w:top w:val="single" w:color="auto" w:sz="4" w:space="0"/>
              <w:left w:val="nil"/>
              <w:bottom w:val="single" w:color="auto" w:sz="4" w:space="0"/>
              <w:right w:val="single" w:color="auto" w:sz="4" w:space="0"/>
            </w:tcBorders>
            <w:vAlign w:val="center"/>
          </w:tcPr>
          <w:p w14:paraId="5B2A3E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12A713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对未经许可，擅自经营劳务派遣业务的处罚</w:t>
            </w:r>
          </w:p>
        </w:tc>
        <w:tc>
          <w:tcPr>
            <w:tcW w:w="1522" w:type="dxa"/>
            <w:tcBorders>
              <w:top w:val="single" w:color="auto" w:sz="4" w:space="0"/>
              <w:left w:val="nil"/>
              <w:bottom w:val="single" w:color="auto" w:sz="4" w:space="0"/>
              <w:right w:val="single" w:color="auto" w:sz="4" w:space="0"/>
            </w:tcBorders>
            <w:vAlign w:val="center"/>
          </w:tcPr>
          <w:p w14:paraId="56BFB1F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3BF4E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E260C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九十二条：违反本法规定，未经许可，擅自经营劳务派遣业务的，由劳动行政部门责令停止违法行为，没收违法所得，并处违法所得一倍以上五倍以下的罚款；没有违法所得的，可以处五万元以下的罚款。……</w:t>
            </w:r>
          </w:p>
          <w:p w14:paraId="79AFCD0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劳务派遣行政许可实施办法》（2013年6月20日人力资源社会保障部令第19号）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4513" w:type="dxa"/>
            <w:tcBorders>
              <w:top w:val="single" w:color="auto" w:sz="4" w:space="0"/>
              <w:left w:val="nil"/>
              <w:bottom w:val="single" w:color="auto" w:sz="4" w:space="0"/>
              <w:right w:val="single" w:color="auto" w:sz="4" w:space="0"/>
            </w:tcBorders>
            <w:vAlign w:val="center"/>
          </w:tcPr>
          <w:p w14:paraId="6B6C101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6B290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4B826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37B6DD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7AC968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256D7C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10CBD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F2300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541087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6B24A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BB218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662B8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64FA18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F3044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0B0D23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30DCC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19B92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6CC88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FD444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24F579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14F60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3C913E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22D603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CEB3F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A9E79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622D25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6EDD99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619172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8CD65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382EEF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99B62D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22</w:t>
            </w:r>
          </w:p>
        </w:tc>
        <w:tc>
          <w:tcPr>
            <w:tcW w:w="585" w:type="dxa"/>
            <w:tcBorders>
              <w:top w:val="single" w:color="auto" w:sz="4" w:space="0"/>
              <w:left w:val="nil"/>
              <w:bottom w:val="single" w:color="auto" w:sz="4" w:space="0"/>
              <w:right w:val="single" w:color="auto" w:sz="4" w:space="0"/>
            </w:tcBorders>
            <w:vAlign w:val="center"/>
          </w:tcPr>
          <w:p w14:paraId="45165B2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D3CC5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对劳务派遣单位、用工单位违反法律、法规有关劳务派遣规定的处罚</w:t>
            </w:r>
          </w:p>
        </w:tc>
        <w:tc>
          <w:tcPr>
            <w:tcW w:w="1522" w:type="dxa"/>
            <w:tcBorders>
              <w:top w:val="single" w:color="auto" w:sz="4" w:space="0"/>
              <w:left w:val="nil"/>
              <w:bottom w:val="single" w:color="auto" w:sz="4" w:space="0"/>
              <w:right w:val="single" w:color="auto" w:sz="4" w:space="0"/>
            </w:tcBorders>
            <w:vAlign w:val="center"/>
          </w:tcPr>
          <w:p w14:paraId="5EAD8F0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AF9BC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CF83D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九十二条：……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14:paraId="74D864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中华人民共和国劳动合同法实施条例》（2008年国务院令第535号公布）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14:paraId="288249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部门规章】《劳务派遣暂行规定》（2014年人力资源社会保障部令第22号公布）第二十条：劳务派遣单位、用工单位违反劳动合同法和劳动合同法实施条例有关劳务派遣规定的，按照劳动合同法第九十二条规定执行。</w:t>
            </w:r>
          </w:p>
          <w:p w14:paraId="544C03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劳务派遣行政许可实施办法》（2013年6月20日人力资源社会保障部令第19号）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4513" w:type="dxa"/>
            <w:tcBorders>
              <w:top w:val="single" w:color="auto" w:sz="4" w:space="0"/>
              <w:left w:val="nil"/>
              <w:bottom w:val="single" w:color="auto" w:sz="4" w:space="0"/>
              <w:right w:val="single" w:color="auto" w:sz="4" w:space="0"/>
            </w:tcBorders>
            <w:vAlign w:val="center"/>
          </w:tcPr>
          <w:p w14:paraId="1ECF5F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358D6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777B6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2592C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651244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B93C0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489D1F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285FE4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37D23C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AC33D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1BBF2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27ADE3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02BF6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385AC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2A4495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A5EEC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A4F6D9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5BC22C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64F478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981D4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14BAE9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23E5796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794E70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6A39C5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2360A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2E1680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596981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5ACA87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34FBD38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2746440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398065D">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3</w:t>
            </w:r>
          </w:p>
        </w:tc>
        <w:tc>
          <w:tcPr>
            <w:tcW w:w="585" w:type="dxa"/>
            <w:tcBorders>
              <w:top w:val="single" w:color="auto" w:sz="4" w:space="0"/>
              <w:left w:val="nil"/>
              <w:bottom w:val="single" w:color="auto" w:sz="4" w:space="0"/>
              <w:right w:val="single" w:color="auto" w:sz="4" w:space="0"/>
            </w:tcBorders>
            <w:vAlign w:val="center"/>
          </w:tcPr>
          <w:p w14:paraId="36D10E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9D70F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对用工单位未经法定程序确定并公示使用被派遣劳动者的辅助性岗位的行为的处罚</w:t>
            </w:r>
          </w:p>
        </w:tc>
        <w:tc>
          <w:tcPr>
            <w:tcW w:w="1522" w:type="dxa"/>
            <w:tcBorders>
              <w:top w:val="single" w:color="auto" w:sz="4" w:space="0"/>
              <w:left w:val="nil"/>
              <w:bottom w:val="single" w:color="auto" w:sz="4" w:space="0"/>
              <w:right w:val="single" w:color="auto" w:sz="4" w:space="0"/>
            </w:tcBorders>
            <w:vAlign w:val="center"/>
          </w:tcPr>
          <w:p w14:paraId="233A408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18FE7A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CC195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劳务派遣暂行规定》（2014年人力资源社会保障部令第22号公布）第三条第三款：用工单位决定使用被派遣劳动者的辅助性岗位，应当经职工代表大会或者全体职工讨论，提出方案和意见，与工会或者职工代表平等协商确定，并在用工单位内公示。</w:t>
            </w:r>
          </w:p>
          <w:p w14:paraId="751B475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第二十二条：用工单位违反本规定第三条第三款规定的，由人力资源社会保障行政部门责令改正，给予警告；给被派遣劳动者造成损害的，依法承担赔偿责任。</w:t>
            </w:r>
          </w:p>
        </w:tc>
        <w:tc>
          <w:tcPr>
            <w:tcW w:w="4513" w:type="dxa"/>
            <w:tcBorders>
              <w:top w:val="single" w:color="auto" w:sz="4" w:space="0"/>
              <w:left w:val="nil"/>
              <w:bottom w:val="single" w:color="auto" w:sz="4" w:space="0"/>
              <w:right w:val="single" w:color="auto" w:sz="4" w:space="0"/>
            </w:tcBorders>
            <w:vAlign w:val="center"/>
          </w:tcPr>
          <w:p w14:paraId="2C9195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E01A5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1B7A8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6ADC2E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486B23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CDF2D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1A4A8B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4098E0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022B93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BA4F6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5C237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4E1AC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BEC6F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6CFBE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DBFFD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5C7186F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24914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CDCBC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D2D9E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58D38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93F03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2FBAB7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F957F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31615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14C826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984F7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1549C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23C00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615DB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AD7DE0D">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159711D">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4</w:t>
            </w:r>
          </w:p>
        </w:tc>
        <w:tc>
          <w:tcPr>
            <w:tcW w:w="585" w:type="dxa"/>
            <w:tcBorders>
              <w:top w:val="single" w:color="auto" w:sz="4" w:space="0"/>
              <w:left w:val="nil"/>
              <w:bottom w:val="single" w:color="auto" w:sz="4" w:space="0"/>
              <w:right w:val="single" w:color="auto" w:sz="4" w:space="0"/>
            </w:tcBorders>
            <w:vAlign w:val="center"/>
          </w:tcPr>
          <w:p w14:paraId="7256EC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4E9B48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对劳务派遣单位采取非法或不正当手段取得劳务派遣行政许可、转让《劳务派遣经营许可证》行为的处罚</w:t>
            </w:r>
          </w:p>
        </w:tc>
        <w:tc>
          <w:tcPr>
            <w:tcW w:w="1522" w:type="dxa"/>
            <w:tcBorders>
              <w:top w:val="single" w:color="auto" w:sz="4" w:space="0"/>
              <w:left w:val="nil"/>
              <w:bottom w:val="single" w:color="auto" w:sz="4" w:space="0"/>
              <w:right w:val="single" w:color="auto" w:sz="4" w:space="0"/>
            </w:tcBorders>
            <w:vAlign w:val="center"/>
          </w:tcPr>
          <w:p w14:paraId="58C2090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1D009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BC73A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劳务派遣行政许可实施办法》（2013年6月20日人力资源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4513" w:type="dxa"/>
            <w:tcBorders>
              <w:top w:val="single" w:color="auto" w:sz="4" w:space="0"/>
              <w:left w:val="nil"/>
              <w:bottom w:val="single" w:color="auto" w:sz="4" w:space="0"/>
              <w:right w:val="single" w:color="auto" w:sz="4" w:space="0"/>
            </w:tcBorders>
            <w:vAlign w:val="center"/>
          </w:tcPr>
          <w:p w14:paraId="1159E7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BF49B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C42CB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388C99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35E3A5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3E7790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0A9414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200B35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06BBF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5B7CF1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34B56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DDC13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DEDD61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FBA44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158D9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B7D8E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404FC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FCC8C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40CCD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300222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B43B8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4AF5DA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26180F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1B04F5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29CA91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7D37E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0A27B4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1BE542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CB147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7DBEEE7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C9DAEA8">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25</w:t>
            </w:r>
          </w:p>
        </w:tc>
        <w:tc>
          <w:tcPr>
            <w:tcW w:w="585" w:type="dxa"/>
            <w:tcBorders>
              <w:top w:val="single" w:color="auto" w:sz="4" w:space="0"/>
              <w:left w:val="nil"/>
              <w:bottom w:val="single" w:color="auto" w:sz="4" w:space="0"/>
              <w:right w:val="single" w:color="auto" w:sz="4" w:space="0"/>
            </w:tcBorders>
            <w:vAlign w:val="center"/>
          </w:tcPr>
          <w:p w14:paraId="05158B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47E3B7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对用人单位违反劳动合同法有关建立职工名册规定的处罚</w:t>
            </w:r>
          </w:p>
        </w:tc>
        <w:tc>
          <w:tcPr>
            <w:tcW w:w="1522" w:type="dxa"/>
            <w:tcBorders>
              <w:top w:val="single" w:color="auto" w:sz="4" w:space="0"/>
              <w:left w:val="nil"/>
              <w:bottom w:val="single" w:color="auto" w:sz="4" w:space="0"/>
              <w:right w:val="single" w:color="auto" w:sz="4" w:space="0"/>
            </w:tcBorders>
            <w:vAlign w:val="center"/>
          </w:tcPr>
          <w:p w14:paraId="7BDF5B9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41915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92632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1.【法律】《中华人民共和国劳动合同法》（2007年6月29日通过，2012年12月28日主席令第73号修正）第七条： 用人单位自用工之日起即与劳动者建立劳动关系。用人单位应当建立职工名册备查。</w:t>
            </w:r>
          </w:p>
          <w:p w14:paraId="4FA23D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中华人民共和国劳动合同法实施条例》（2008年国务院令第535号公布）第八条：劳动合同法第七条规定的职工名册，应当包括劳动者姓名、性别、公民身份号码、户籍地址及现住址、联系方式、用工形式、用工起始时间、劳动合同期限等内容。</w:t>
            </w:r>
          </w:p>
          <w:p w14:paraId="63BAA4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第三十三条：用人单位违反劳动合同法有关建立职工名册规定的，由劳动行政部门责令限期改正；逾期不改正的，由劳动行政部门处2000元以上2万元以下的罚款。</w:t>
            </w:r>
          </w:p>
          <w:p w14:paraId="14D4AC74">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3D590B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83173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79198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147AAA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6A8038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FB1CA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62CB7C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09DFDB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B2328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0B0FA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E6CE6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062ADA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B889CF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C36CD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1AE850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8BD42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0240A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465C3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67650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3863E0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D5D76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3CC758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3B93D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873A3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50D4D4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9DBBD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A9F59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0EAFCC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909211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6628D8E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B32F4FE">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6</w:t>
            </w:r>
          </w:p>
        </w:tc>
        <w:tc>
          <w:tcPr>
            <w:tcW w:w="585" w:type="dxa"/>
            <w:tcBorders>
              <w:top w:val="single" w:color="auto" w:sz="4" w:space="0"/>
              <w:left w:val="nil"/>
              <w:bottom w:val="single" w:color="auto" w:sz="4" w:space="0"/>
              <w:right w:val="single" w:color="auto" w:sz="4" w:space="0"/>
            </w:tcBorders>
            <w:vAlign w:val="center"/>
          </w:tcPr>
          <w:p w14:paraId="5D4DD1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B4B40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对用人单位在国家法律、行政法规和国务院卫生行政部门规定禁止乙肝病原携带者从事的工作岗位以外招用人员时，将乙肝病毒血清学指标作为体检标准行为的处罚</w:t>
            </w:r>
          </w:p>
        </w:tc>
        <w:tc>
          <w:tcPr>
            <w:tcW w:w="1522" w:type="dxa"/>
            <w:tcBorders>
              <w:top w:val="single" w:color="auto" w:sz="4" w:space="0"/>
              <w:left w:val="nil"/>
              <w:bottom w:val="single" w:color="auto" w:sz="4" w:space="0"/>
              <w:right w:val="single" w:color="auto" w:sz="4" w:space="0"/>
            </w:tcBorders>
            <w:vAlign w:val="center"/>
          </w:tcPr>
          <w:p w14:paraId="185A71BD">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7ECFD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44585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【部门规章】《就业服务与就业管理规定》（2007年11月5日劳动保障部令第28号公布，2022年1月7日第四次修订）</w:t>
            </w:r>
          </w:p>
          <w:p w14:paraId="75A417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第十九条第二款：用人单位招用人员，除国家法律、行政法规和国务院卫生行政部门规定禁止乙肝病原携带者从事的工作外，不得强行将乙肝病毒血清学指标作为体检标准。</w:t>
            </w:r>
          </w:p>
          <w:p w14:paraId="490DA3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4513" w:type="dxa"/>
            <w:tcBorders>
              <w:top w:val="single" w:color="auto" w:sz="4" w:space="0"/>
              <w:left w:val="nil"/>
              <w:bottom w:val="single" w:color="auto" w:sz="4" w:space="0"/>
              <w:right w:val="single" w:color="auto" w:sz="4" w:space="0"/>
            </w:tcBorders>
            <w:vAlign w:val="center"/>
          </w:tcPr>
          <w:p w14:paraId="2AD06B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131D47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77191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6E6247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298112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319321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11D83D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384697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20323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26E53E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47C85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49546E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730E524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6617F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E3789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B4764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E0CD5F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1575AD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1130E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59A31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4C91A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2A03A5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45B89D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664EE0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450B71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BFA91A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C01F4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01E1B4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21F04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645B9A55">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5E53732">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7</w:t>
            </w:r>
          </w:p>
        </w:tc>
        <w:tc>
          <w:tcPr>
            <w:tcW w:w="585" w:type="dxa"/>
            <w:tcBorders>
              <w:top w:val="single" w:color="auto" w:sz="4" w:space="0"/>
              <w:left w:val="nil"/>
              <w:bottom w:val="single" w:color="auto" w:sz="4" w:space="0"/>
              <w:right w:val="single" w:color="auto" w:sz="4" w:space="0"/>
            </w:tcBorders>
            <w:vAlign w:val="center"/>
          </w:tcPr>
          <w:p w14:paraId="24C416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7EA87A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对用人单位招用、招聘工作中违法行为的处罚</w:t>
            </w:r>
          </w:p>
          <w:p w14:paraId="211D6ECF">
            <w:pPr>
              <w:widowControl/>
              <w:adjustRightInd w:val="0"/>
              <w:snapToGrid w:val="0"/>
              <w:spacing w:line="300" w:lineRule="exact"/>
              <w:jc w:val="center"/>
              <w:rPr>
                <w:rFonts w:eastAsia="仿宋_GB2312" w:cs="仿宋_GB2312"/>
                <w:snapToGrid w:val="0"/>
                <w:sz w:val="20"/>
                <w:szCs w:val="20"/>
              </w:rPr>
            </w:pPr>
          </w:p>
        </w:tc>
        <w:tc>
          <w:tcPr>
            <w:tcW w:w="1522" w:type="dxa"/>
            <w:tcBorders>
              <w:top w:val="single" w:color="auto" w:sz="4" w:space="0"/>
              <w:left w:val="nil"/>
              <w:bottom w:val="single" w:color="auto" w:sz="4" w:space="0"/>
              <w:right w:val="single" w:color="auto" w:sz="4" w:space="0"/>
            </w:tcBorders>
            <w:vAlign w:val="center"/>
          </w:tcPr>
          <w:p w14:paraId="2EB4DBB7">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2FE6D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D20A6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八十四条：用人单位违反本法规定，扣押劳动者居民身份证等证件的，由劳动行政部门责令限期退还劳动者本人，并依照有关规定给予处罚。</w:t>
            </w:r>
          </w:p>
          <w:p w14:paraId="3E2A5F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1872D1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劳动者依法解除或者终止劳动合同，用人单位扣押劳动者档案或者其他物品的，依照前款规定处罚。</w:t>
            </w:r>
          </w:p>
          <w:p w14:paraId="345351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15369BDB">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49BA2D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B446D0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5F5F9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3B1D8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323E3C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221DF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07F823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AA08F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E27070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664732D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C79F8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43A56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B6EB9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CA03F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DE10C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04A47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FD2BA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16C92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1DD41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C76C7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5748BC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4B153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45022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50B03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19BBB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C6368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9A4D9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460E66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DC7AC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22DF76A">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41301F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28</w:t>
            </w:r>
          </w:p>
        </w:tc>
        <w:tc>
          <w:tcPr>
            <w:tcW w:w="585" w:type="dxa"/>
            <w:tcBorders>
              <w:top w:val="single" w:color="auto" w:sz="4" w:space="0"/>
              <w:left w:val="nil"/>
              <w:bottom w:val="single" w:color="auto" w:sz="4" w:space="0"/>
              <w:right w:val="single" w:color="auto" w:sz="4" w:space="0"/>
            </w:tcBorders>
            <w:vAlign w:val="center"/>
          </w:tcPr>
          <w:p w14:paraId="2A7CA9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631991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对企业违反《企业年金办法》的处罚</w:t>
            </w:r>
          </w:p>
        </w:tc>
        <w:tc>
          <w:tcPr>
            <w:tcW w:w="1522" w:type="dxa"/>
            <w:tcBorders>
              <w:top w:val="single" w:color="auto" w:sz="4" w:space="0"/>
              <w:left w:val="nil"/>
              <w:bottom w:val="single" w:color="auto" w:sz="4" w:space="0"/>
              <w:right w:val="single" w:color="auto" w:sz="4" w:space="0"/>
            </w:tcBorders>
            <w:vAlign w:val="center"/>
          </w:tcPr>
          <w:p w14:paraId="3C07C221">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3946C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158C7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企业年金办法》（2017年12月18日人力资源社会保障部令第36号公布）第二十九条：县级以上人民政府人力资源社会保障行政部门负责对本办法的执行情况进行监督检查。对违反本办法规定的，由人力资源社会保障行政部门予以警告，责令改正。</w:t>
            </w:r>
          </w:p>
        </w:tc>
        <w:tc>
          <w:tcPr>
            <w:tcW w:w="4513" w:type="dxa"/>
            <w:tcBorders>
              <w:top w:val="single" w:color="auto" w:sz="4" w:space="0"/>
              <w:left w:val="nil"/>
              <w:bottom w:val="single" w:color="auto" w:sz="4" w:space="0"/>
              <w:right w:val="single" w:color="auto" w:sz="4" w:space="0"/>
            </w:tcBorders>
            <w:vAlign w:val="center"/>
          </w:tcPr>
          <w:p w14:paraId="6C8072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186A3D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749E9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82206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4B2FB9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D6503A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F90F9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59FC2B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E3D1E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45B23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DC45F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F9A02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CDCA9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F27C4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04F76A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07C65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AA1B8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2DB5C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3310F1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3EEE5D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5DB293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49EA01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4BBB4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70472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24D00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08B1A3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4009B6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484F7B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62EB4C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079F406C">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0667F49">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9</w:t>
            </w:r>
          </w:p>
        </w:tc>
        <w:tc>
          <w:tcPr>
            <w:tcW w:w="585" w:type="dxa"/>
            <w:tcBorders>
              <w:top w:val="single" w:color="auto" w:sz="4" w:space="0"/>
              <w:left w:val="nil"/>
              <w:bottom w:val="single" w:color="auto" w:sz="4" w:space="0"/>
              <w:right w:val="single" w:color="auto" w:sz="4" w:space="0"/>
            </w:tcBorders>
            <w:vAlign w:val="center"/>
          </w:tcPr>
          <w:p w14:paraId="0862CF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330785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对用人单位不办理社会保险登记，责令改正，逾期仍不改正的处罚</w:t>
            </w:r>
          </w:p>
        </w:tc>
        <w:tc>
          <w:tcPr>
            <w:tcW w:w="1522" w:type="dxa"/>
            <w:tcBorders>
              <w:top w:val="single" w:color="auto" w:sz="4" w:space="0"/>
              <w:left w:val="nil"/>
              <w:bottom w:val="single" w:color="auto" w:sz="4" w:space="0"/>
              <w:right w:val="single" w:color="auto" w:sz="4" w:space="0"/>
            </w:tcBorders>
            <w:vAlign w:val="center"/>
          </w:tcPr>
          <w:p w14:paraId="08D8C913">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32D6B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0706F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社会保险法》（2010年10月28日通过，2018年12月29日修正）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2EF39B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用人单位的社会保险登记事项发生变更或者用人单位依法终止的，应当自变更或者终止之日起三十日内，到社会保险经办机构办理变更或者注销社会保险登记。……</w:t>
            </w:r>
          </w:p>
          <w:p w14:paraId="6530FE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084AD131">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27B8FD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2A53A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486FA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4E71670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14:paraId="1D93F7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0ACF8D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2A90C3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69C239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7AC3F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F6144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4B1888D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AAA8A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8F07E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E4E4D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2B2F0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B5A1E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52479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54418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145BA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E4B41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1D007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37A407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C5DD4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18C13A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582888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FF445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54AE44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01355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9BDBF8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FE6EA1D">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37742DD">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30</w:t>
            </w:r>
          </w:p>
        </w:tc>
        <w:tc>
          <w:tcPr>
            <w:tcW w:w="585" w:type="dxa"/>
            <w:tcBorders>
              <w:top w:val="single" w:color="auto" w:sz="4" w:space="0"/>
              <w:left w:val="nil"/>
              <w:bottom w:val="single" w:color="auto" w:sz="4" w:space="0"/>
              <w:right w:val="single" w:color="auto" w:sz="4" w:space="0"/>
            </w:tcBorders>
            <w:vAlign w:val="center"/>
          </w:tcPr>
          <w:p w14:paraId="2E4611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6A6D6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对从事劳动能力鉴定的组织或者个人提供虚假鉴定意见、虚假诊断证明、收受当事人财物行为的处罚</w:t>
            </w:r>
          </w:p>
        </w:tc>
        <w:tc>
          <w:tcPr>
            <w:tcW w:w="1522" w:type="dxa"/>
            <w:tcBorders>
              <w:top w:val="single" w:color="auto" w:sz="4" w:space="0"/>
              <w:left w:val="nil"/>
              <w:bottom w:val="single" w:color="auto" w:sz="4" w:space="0"/>
              <w:right w:val="single" w:color="auto" w:sz="4" w:space="0"/>
            </w:tcBorders>
            <w:vAlign w:val="center"/>
          </w:tcPr>
          <w:p w14:paraId="299604DF">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2EB3A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设区市级</w:t>
            </w:r>
          </w:p>
        </w:tc>
        <w:tc>
          <w:tcPr>
            <w:tcW w:w="6101" w:type="dxa"/>
            <w:tcBorders>
              <w:top w:val="single" w:color="auto" w:sz="4" w:space="0"/>
              <w:left w:val="nil"/>
              <w:bottom w:val="single" w:color="auto" w:sz="4" w:space="0"/>
              <w:right w:val="single" w:color="auto" w:sz="4" w:space="0"/>
            </w:tcBorders>
            <w:vAlign w:val="center"/>
          </w:tcPr>
          <w:p w14:paraId="278C76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工伤保险条例》（2003年4月27日国务院令第375号公布，2010年12月20日修订）第六十一条：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p w14:paraId="6920356F">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742FAC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43BF39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394707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16CA99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20612E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23C190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7403576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0018EE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3F9386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28FE09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5844B9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CD995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5EEABA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50639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DCD7F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68D7D4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176CD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0AB42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2DB6F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97BD4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10B3CA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0CF12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4B8B0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EA937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50D54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539779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A7F0D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9157C2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B6208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4C10B8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p w14:paraId="20D4894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8.【法律】《中华人民共和国行政处罚法》第七十五条：……县级以上人民政府应当定期组织开展行政执法评议、考核，加强对行政处罚的监督检查，规范和保障行政处罚的实施。</w:t>
            </w:r>
          </w:p>
        </w:tc>
      </w:tr>
      <w:tr w14:paraId="41B43D7B">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398D52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31</w:t>
            </w:r>
          </w:p>
        </w:tc>
        <w:tc>
          <w:tcPr>
            <w:tcW w:w="585" w:type="dxa"/>
            <w:tcBorders>
              <w:top w:val="single" w:color="auto" w:sz="4" w:space="0"/>
              <w:left w:val="nil"/>
              <w:bottom w:val="single" w:color="auto" w:sz="4" w:space="0"/>
              <w:right w:val="single" w:color="auto" w:sz="4" w:space="0"/>
            </w:tcBorders>
            <w:vAlign w:val="center"/>
          </w:tcPr>
          <w:p w14:paraId="0BBF85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24717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对从事工伤保险辅助器具配置确认工作的组织或个人提供虚假确认意见、虚假诊断证明或者病历、收受当事人财物的行为的处罚。</w:t>
            </w:r>
          </w:p>
        </w:tc>
        <w:tc>
          <w:tcPr>
            <w:tcW w:w="1522" w:type="dxa"/>
            <w:tcBorders>
              <w:top w:val="single" w:color="auto" w:sz="4" w:space="0"/>
              <w:left w:val="nil"/>
              <w:bottom w:val="single" w:color="auto" w:sz="4" w:space="0"/>
              <w:right w:val="single" w:color="auto" w:sz="4" w:space="0"/>
            </w:tcBorders>
            <w:vAlign w:val="center"/>
          </w:tcPr>
          <w:p w14:paraId="3702AA81">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76C55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设区市级</w:t>
            </w:r>
          </w:p>
        </w:tc>
        <w:tc>
          <w:tcPr>
            <w:tcW w:w="6101" w:type="dxa"/>
            <w:tcBorders>
              <w:top w:val="single" w:color="auto" w:sz="4" w:space="0"/>
              <w:left w:val="nil"/>
              <w:bottom w:val="single" w:color="auto" w:sz="4" w:space="0"/>
              <w:right w:val="single" w:color="auto" w:sz="4" w:space="0"/>
            </w:tcBorders>
            <w:vAlign w:val="center"/>
          </w:tcPr>
          <w:p w14:paraId="507DA3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工伤保险辅助器具配置管理办法》（2016年2月16日人社部、民政部、卫计委令第27号，2018年12月14日修订）第二十七条：从事工伤保险辅助器具配置确认工作的组织或者个人有下列情形之一的，由人力资源社会保障行政部门责令改正，处2000元以上1万元以下的罚款；情节严重，构成犯罪的，依法追究刑事责任：（一）提供虚假确认意见的；（二）提供虚假诊断证明或者病历的；（三）受收当事人财务的。</w:t>
            </w:r>
          </w:p>
        </w:tc>
        <w:tc>
          <w:tcPr>
            <w:tcW w:w="4513" w:type="dxa"/>
            <w:tcBorders>
              <w:top w:val="single" w:color="auto" w:sz="4" w:space="0"/>
              <w:left w:val="nil"/>
              <w:bottom w:val="single" w:color="auto" w:sz="4" w:space="0"/>
              <w:right w:val="single" w:color="auto" w:sz="4" w:space="0"/>
            </w:tcBorders>
            <w:vAlign w:val="center"/>
          </w:tcPr>
          <w:p w14:paraId="0A24AC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60805E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7B8A9E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45728C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1E0B3C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196D26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38B680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04C1FC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4AF8FC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58B678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59FF6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C67D3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3-1.【法律】《中华人民共和国行政处罚法》（1996年3月17日通过，2021年1月22日修订）第五十七条：调查终结，行政机关负责人应当对调查结果进行审查，根据不同情况，分别作出如下决定：</w:t>
            </w:r>
          </w:p>
          <w:p w14:paraId="155B60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1B439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90B38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A9938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357C04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4C4F69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4DBF58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177A09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74DC2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24170F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12FD2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4086F1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2ACCF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0BC9AF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6F044F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55210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7.【法律】《中华人民共和国行政处罚法》（1996年3月17日通过，2021年1月22日修订）第七十二条　当事人逾期不履行行政处罚决定的，作出行政处罚决定的行政机关可以采取下列措施：</w:t>
            </w:r>
          </w:p>
          <w:p w14:paraId="5E6134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（一）到期不缴纳罚款的，每日按罚款数额的百分之三加处罚款，加处罚款的数额不得超出罚款的数额；</w:t>
            </w:r>
          </w:p>
          <w:p w14:paraId="667006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14:paraId="678402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14:paraId="7DEAE3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14:paraId="0E5123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中华人民共和国行政处罚法》（1996年3月17日通过，2021年1月22日修订）第七十五条：……县级以上人民政府应当定期组织开展行政执法评议、考核，加强对行政处罚的监督检查，规范和保障行政处罚的实施。</w:t>
            </w:r>
          </w:p>
        </w:tc>
      </w:tr>
      <w:tr w14:paraId="4AAC6119">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4A15D1F">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3</w:t>
            </w:r>
            <w:r>
              <w:rPr>
                <w:rFonts w:hint="eastAsia" w:eastAsia="仿宋_GB2312" w:cs="仿宋_GB2312"/>
                <w:snapToGrid w:val="0"/>
                <w:sz w:val="20"/>
                <w:szCs w:val="20"/>
                <w:lang w:val="en-US" w:eastAsia="zh-CN"/>
              </w:rPr>
              <w:t>2</w:t>
            </w:r>
          </w:p>
        </w:tc>
        <w:tc>
          <w:tcPr>
            <w:tcW w:w="585" w:type="dxa"/>
            <w:tcBorders>
              <w:top w:val="single" w:color="auto" w:sz="4" w:space="0"/>
              <w:left w:val="nil"/>
              <w:bottom w:val="single" w:color="auto" w:sz="4" w:space="0"/>
              <w:right w:val="single" w:color="auto" w:sz="4" w:space="0"/>
            </w:tcBorders>
            <w:vAlign w:val="center"/>
          </w:tcPr>
          <w:p w14:paraId="47EBD9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782D9E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对用人单位未参加工伤保险的处罚</w:t>
            </w:r>
          </w:p>
        </w:tc>
        <w:tc>
          <w:tcPr>
            <w:tcW w:w="1522" w:type="dxa"/>
            <w:tcBorders>
              <w:top w:val="single" w:color="auto" w:sz="4" w:space="0"/>
              <w:left w:val="nil"/>
              <w:bottom w:val="single" w:color="auto" w:sz="4" w:space="0"/>
              <w:right w:val="single" w:color="auto" w:sz="4" w:space="0"/>
            </w:tcBorders>
            <w:vAlign w:val="center"/>
          </w:tcPr>
          <w:p w14:paraId="33A17B2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B885B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E4CAE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工伤保险条例》（2003年4月27日国务院令第375号公布，2010年12月20日修订）第六十二条第一款：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4513" w:type="dxa"/>
            <w:tcBorders>
              <w:top w:val="single" w:color="auto" w:sz="4" w:space="0"/>
              <w:left w:val="nil"/>
              <w:bottom w:val="single" w:color="auto" w:sz="4" w:space="0"/>
              <w:right w:val="single" w:color="auto" w:sz="4" w:space="0"/>
            </w:tcBorders>
            <w:vAlign w:val="center"/>
          </w:tcPr>
          <w:p w14:paraId="04C3EE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50F036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9243D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0E6E3B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6C0BEF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791C4D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3D44E3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2A9905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4140A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1EEAD1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A871C2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6A180F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5208B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52DF5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550437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FCCED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04EB3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980ED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1C994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86725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E9E23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1C2EC8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2F244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B402D8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D3231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F731C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77FDF2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F9205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359D42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7C46884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F888A93">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3</w:t>
            </w:r>
            <w:r>
              <w:rPr>
                <w:rFonts w:hint="eastAsia" w:eastAsia="仿宋_GB2312" w:cs="仿宋_GB2312"/>
                <w:snapToGrid w:val="0"/>
                <w:sz w:val="20"/>
                <w:szCs w:val="20"/>
                <w:lang w:val="en-US" w:eastAsia="zh-CN"/>
              </w:rPr>
              <w:t>3</w:t>
            </w:r>
          </w:p>
        </w:tc>
        <w:tc>
          <w:tcPr>
            <w:tcW w:w="585" w:type="dxa"/>
            <w:tcBorders>
              <w:top w:val="single" w:color="auto" w:sz="4" w:space="0"/>
              <w:left w:val="nil"/>
              <w:bottom w:val="single" w:color="auto" w:sz="4" w:space="0"/>
              <w:right w:val="single" w:color="auto" w:sz="4" w:space="0"/>
            </w:tcBorders>
            <w:vAlign w:val="center"/>
          </w:tcPr>
          <w:p w14:paraId="4B50FA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74240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对用人单位违反拒不协助社会保险行政部门对事故进行调查核实的处罚</w:t>
            </w:r>
          </w:p>
        </w:tc>
        <w:tc>
          <w:tcPr>
            <w:tcW w:w="1522" w:type="dxa"/>
            <w:tcBorders>
              <w:top w:val="single" w:color="auto" w:sz="4" w:space="0"/>
              <w:left w:val="nil"/>
              <w:bottom w:val="single" w:color="auto" w:sz="4" w:space="0"/>
              <w:right w:val="single" w:color="auto" w:sz="4" w:space="0"/>
            </w:tcBorders>
            <w:vAlign w:val="center"/>
          </w:tcPr>
          <w:p w14:paraId="3ADBC2FC">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FDB52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8A37D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六十三条：用人单位违反本条例第十九条的规定，拒不协助社会保险行政部门对事故进行调查核实的，由社会保险行政部门责令改正，处2000元以上2万元以下的罚款。</w:t>
            </w:r>
          </w:p>
          <w:p w14:paraId="30F14968">
            <w:pPr>
              <w:pStyle w:val="2"/>
              <w:rPr>
                <w:rFonts w:eastAsia="仿宋_GB2312" w:cs="仿宋_GB2312"/>
                <w:snapToGrid w:val="0"/>
                <w:sz w:val="20"/>
                <w:szCs w:val="20"/>
              </w:rPr>
            </w:pPr>
            <w:r>
              <w:rPr>
                <w:rFonts w:hint="eastAsia" w:eastAsia="仿宋_GB2312" w:cs="仿宋_GB2312"/>
                <w:snapToGrid w:val="0"/>
                <w:sz w:val="20"/>
                <w:szCs w:val="20"/>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3E751EAC">
            <w:pPr>
              <w:pStyle w:val="2"/>
              <w:rPr>
                <w:rFonts w:eastAsia="仿宋_GB2312" w:cs="仿宋_GB2312"/>
                <w:snapToGrid w:val="0"/>
                <w:sz w:val="20"/>
                <w:szCs w:val="20"/>
              </w:rPr>
            </w:pPr>
            <w:r>
              <w:rPr>
                <w:rFonts w:hint="eastAsia" w:eastAsia="仿宋_GB2312" w:cs="仿宋_GB2312"/>
                <w:snapToGrid w:val="0"/>
                <w:sz w:val="20"/>
                <w:szCs w:val="20"/>
              </w:rPr>
              <w:t>职工或者其近亲属认为是工伤，用人单位不认为是工伤的，由用人单位承担举证责任。</w:t>
            </w:r>
          </w:p>
          <w:p w14:paraId="354EF7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工伤认定办法》（2010年12月31日人力资源社会保障部令第8号公布）第二十五条：用人单位拒不协助社会保险行政部门对事故伤害进行调查核实的，由社会保险行政部门责令改正，处2000元以上2万元以下的罚款。</w:t>
            </w:r>
          </w:p>
        </w:tc>
        <w:tc>
          <w:tcPr>
            <w:tcW w:w="4513" w:type="dxa"/>
            <w:tcBorders>
              <w:top w:val="single" w:color="auto" w:sz="4" w:space="0"/>
              <w:left w:val="nil"/>
              <w:bottom w:val="single" w:color="auto" w:sz="4" w:space="0"/>
              <w:right w:val="single" w:color="auto" w:sz="4" w:space="0"/>
            </w:tcBorders>
            <w:vAlign w:val="center"/>
          </w:tcPr>
          <w:p w14:paraId="52CD09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0E7B9F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9D0562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9B9C3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36D26E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7E852F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7B215A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556DB4F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9F97B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61AD4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43760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4172B1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2F04116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D7A29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C124A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1284F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4FA52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5073B2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0DC5B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22CF1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2C6D8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1A24FB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0BCD5F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374907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FF0D5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A7473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6A6DD7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195618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D516B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1BCFAE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80E5C40">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34</w:t>
            </w:r>
          </w:p>
        </w:tc>
        <w:tc>
          <w:tcPr>
            <w:tcW w:w="585" w:type="dxa"/>
            <w:tcBorders>
              <w:top w:val="single" w:color="auto" w:sz="4" w:space="0"/>
              <w:left w:val="nil"/>
              <w:bottom w:val="single" w:color="auto" w:sz="4" w:space="0"/>
              <w:right w:val="single" w:color="auto" w:sz="4" w:space="0"/>
            </w:tcBorders>
            <w:vAlign w:val="center"/>
          </w:tcPr>
          <w:p w14:paraId="26783D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4B6CF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对经营性人力资源服务机构未明示有关事项的处罚</w:t>
            </w:r>
          </w:p>
        </w:tc>
        <w:tc>
          <w:tcPr>
            <w:tcW w:w="1522" w:type="dxa"/>
            <w:tcBorders>
              <w:top w:val="single" w:color="auto" w:sz="4" w:space="0"/>
              <w:left w:val="nil"/>
              <w:bottom w:val="single" w:color="auto" w:sz="4" w:space="0"/>
              <w:right w:val="single" w:color="auto" w:sz="4" w:space="0"/>
            </w:tcBorders>
            <w:vAlign w:val="center"/>
          </w:tcPr>
          <w:p w14:paraId="7EBE8030">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94AFE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0E205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0F51FD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575D61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14:paraId="0D5F10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4513" w:type="dxa"/>
            <w:tcBorders>
              <w:top w:val="single" w:color="auto" w:sz="4" w:space="0"/>
              <w:left w:val="nil"/>
              <w:bottom w:val="single" w:color="auto" w:sz="4" w:space="0"/>
              <w:right w:val="single" w:color="auto" w:sz="4" w:space="0"/>
            </w:tcBorders>
            <w:vAlign w:val="center"/>
          </w:tcPr>
          <w:p w14:paraId="5A05AD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1E2518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04627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10FC9F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44241A1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7050D5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8BE81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0C37C9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20C974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08949B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D7F16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193BC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3BA403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BAED5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EB050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4B5D9D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F6EBA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C112B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77BEF6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2AB0E4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2D2F6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48254B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0B9324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4EE836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253E66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38644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447D44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112CD1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A2232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032FBF62">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E060F87">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35</w:t>
            </w:r>
          </w:p>
        </w:tc>
        <w:tc>
          <w:tcPr>
            <w:tcW w:w="585" w:type="dxa"/>
            <w:tcBorders>
              <w:top w:val="single" w:color="auto" w:sz="4" w:space="0"/>
              <w:left w:val="nil"/>
              <w:bottom w:val="single" w:color="auto" w:sz="4" w:space="0"/>
              <w:right w:val="single" w:color="auto" w:sz="4" w:space="0"/>
            </w:tcBorders>
            <w:vAlign w:val="center"/>
          </w:tcPr>
          <w:p w14:paraId="1BC850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153BF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对人力资源服务机构未按规定建立健全内部制度或者保存服务台账的处罚</w:t>
            </w:r>
          </w:p>
        </w:tc>
        <w:tc>
          <w:tcPr>
            <w:tcW w:w="1522" w:type="dxa"/>
            <w:tcBorders>
              <w:top w:val="single" w:color="auto" w:sz="4" w:space="0"/>
              <w:left w:val="nil"/>
              <w:bottom w:val="single" w:color="auto" w:sz="4" w:space="0"/>
              <w:right w:val="single" w:color="auto" w:sz="4" w:space="0"/>
            </w:tcBorders>
            <w:vAlign w:val="center"/>
          </w:tcPr>
          <w:p w14:paraId="12A2D066">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2EA9C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736B7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38F3BE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第三十三条：人力资源服务机构应当加强内部制度建设，健全财务管理制度，建立服务台账，如实记录服务对象、服务过程、服务结果等信息。服务台账应当保存2年以上。</w:t>
            </w:r>
          </w:p>
          <w:p w14:paraId="7A0394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四条：职业中介机构应当建立服务台账，记录服务对象、服务过程、服务结果和收费情况等，并接受劳动保障行政部门的监督检查。</w:t>
            </w:r>
          </w:p>
          <w:p w14:paraId="00E9B0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4513" w:type="dxa"/>
            <w:tcBorders>
              <w:top w:val="single" w:color="auto" w:sz="4" w:space="0"/>
              <w:left w:val="nil"/>
              <w:bottom w:val="single" w:color="auto" w:sz="4" w:space="0"/>
              <w:right w:val="single" w:color="auto" w:sz="4" w:space="0"/>
            </w:tcBorders>
            <w:vAlign w:val="center"/>
          </w:tcPr>
          <w:p w14:paraId="43BE65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211BE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FE91D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5966D9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085084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F5CEF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2BFD8FC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758090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64BA5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041D50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7AED5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40575E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853B4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D488B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38828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DC7F8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66EB8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A73E8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88F205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7F6A3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7BC6E5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8B52F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B26E7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D02D8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30561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025A20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983E9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69B7ED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6EF5C2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F9A781C">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0979FDB">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36</w:t>
            </w:r>
          </w:p>
        </w:tc>
        <w:tc>
          <w:tcPr>
            <w:tcW w:w="585" w:type="dxa"/>
            <w:tcBorders>
              <w:top w:val="single" w:color="auto" w:sz="4" w:space="0"/>
              <w:left w:val="nil"/>
              <w:bottom w:val="single" w:color="auto" w:sz="4" w:space="0"/>
              <w:right w:val="single" w:color="auto" w:sz="4" w:space="0"/>
            </w:tcBorders>
            <w:vAlign w:val="center"/>
          </w:tcPr>
          <w:p w14:paraId="2E2D70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1236C5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对经营性人力资源服务机构未按规定提交经营情况年度报告的处罚</w:t>
            </w:r>
          </w:p>
        </w:tc>
        <w:tc>
          <w:tcPr>
            <w:tcW w:w="1522" w:type="dxa"/>
            <w:tcBorders>
              <w:top w:val="single" w:color="auto" w:sz="4" w:space="0"/>
              <w:left w:val="nil"/>
              <w:bottom w:val="single" w:color="auto" w:sz="4" w:space="0"/>
              <w:right w:val="single" w:color="auto" w:sz="4" w:space="0"/>
            </w:tcBorders>
            <w:vAlign w:val="center"/>
          </w:tcPr>
          <w:p w14:paraId="4BC5CCD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26095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4EA6F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785B5E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六条：经营性人力资源服务机构应当在规定期限内，向人力资源社会保障行政部门提交经营情况年度报告。人力资源社会保障行政部门可以依法公示或者引导经营性人力资源服务机构依法公示年度报告的有关内容。……</w:t>
            </w:r>
          </w:p>
        </w:tc>
        <w:tc>
          <w:tcPr>
            <w:tcW w:w="4513" w:type="dxa"/>
            <w:tcBorders>
              <w:top w:val="single" w:color="auto" w:sz="4" w:space="0"/>
              <w:left w:val="nil"/>
              <w:bottom w:val="single" w:color="auto" w:sz="4" w:space="0"/>
              <w:right w:val="single" w:color="auto" w:sz="4" w:space="0"/>
            </w:tcBorders>
            <w:vAlign w:val="center"/>
          </w:tcPr>
          <w:p w14:paraId="232A59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707C72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346420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C2A17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44EDB5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775F018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4ED7CD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5BEC9B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44D82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D20B66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675D5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8E461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E0610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ECC05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682C4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2D1F1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F4A25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A5C97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64694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49D6DB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F5E53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8C3C9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24C6AA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4FB02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64AF1B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7993A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0D130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74B00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0251B0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45FDAC90">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B0CFDF9">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3</w:t>
            </w:r>
            <w:r>
              <w:rPr>
                <w:rFonts w:hint="eastAsia" w:eastAsia="仿宋_GB2312" w:cs="仿宋_GB2312"/>
                <w:snapToGrid w:val="0"/>
                <w:sz w:val="20"/>
                <w:szCs w:val="20"/>
                <w:lang w:val="en-US" w:eastAsia="zh-CN"/>
              </w:rPr>
              <w:t>7</w:t>
            </w:r>
          </w:p>
        </w:tc>
        <w:tc>
          <w:tcPr>
            <w:tcW w:w="585" w:type="dxa"/>
            <w:tcBorders>
              <w:top w:val="single" w:color="auto" w:sz="4" w:space="0"/>
              <w:left w:val="nil"/>
              <w:bottom w:val="single" w:color="auto" w:sz="4" w:space="0"/>
              <w:right w:val="single" w:color="auto" w:sz="4" w:space="0"/>
            </w:tcBorders>
            <w:vAlign w:val="center"/>
          </w:tcPr>
          <w:p w14:paraId="3D373D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460195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对职业中介机构在职业中介服务不成功后未向劳动者退还所收取的中介服务费的处罚</w:t>
            </w:r>
          </w:p>
        </w:tc>
        <w:tc>
          <w:tcPr>
            <w:tcW w:w="1522" w:type="dxa"/>
            <w:tcBorders>
              <w:top w:val="single" w:color="auto" w:sz="4" w:space="0"/>
              <w:left w:val="nil"/>
              <w:bottom w:val="single" w:color="auto" w:sz="4" w:space="0"/>
              <w:right w:val="single" w:color="auto" w:sz="4" w:space="0"/>
            </w:tcBorders>
            <w:vAlign w:val="center"/>
          </w:tcPr>
          <w:p w14:paraId="13DC673F">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54534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7F76A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【部门规章】《就业服务与就业管理规定》（2007年11月5日劳动保障部令第28号，2022年1月7日第四次修订）第五十五条：职业中介机构提供职业中介服务不成功的，应当退还向劳动者收取的中介服务费。</w:t>
            </w:r>
          </w:p>
          <w:p w14:paraId="20C6D6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第七十三条：职业中介机构违反本规定第五十五条规定，在职业中介服务不成功后未向劳动者退还所收取的中介服务费的，由劳动保障行政部门责令改正，并可处以一千元以下的罚款。</w:t>
            </w:r>
          </w:p>
        </w:tc>
        <w:tc>
          <w:tcPr>
            <w:tcW w:w="4513" w:type="dxa"/>
            <w:tcBorders>
              <w:top w:val="single" w:color="auto" w:sz="4" w:space="0"/>
              <w:left w:val="nil"/>
              <w:bottom w:val="single" w:color="auto" w:sz="4" w:space="0"/>
              <w:right w:val="single" w:color="auto" w:sz="4" w:space="0"/>
            </w:tcBorders>
            <w:vAlign w:val="center"/>
          </w:tcPr>
          <w:p w14:paraId="5E1CFA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649F5C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4D7AD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3C8D3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1D441A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3F7315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37594B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4383D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16D830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605198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65CDA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1B140CF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73B95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A8469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063D53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B7CD90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68E19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701EB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2C17C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3F347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93D42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468736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035C6E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416D4B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33818E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8B25F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48CA7B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006C87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C027D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2C03CCBF">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A7981AB">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3</w:t>
            </w:r>
            <w:r>
              <w:rPr>
                <w:rFonts w:hint="eastAsia" w:eastAsia="仿宋_GB2312" w:cs="仿宋_GB2312"/>
                <w:snapToGrid w:val="0"/>
                <w:sz w:val="20"/>
                <w:szCs w:val="20"/>
                <w:lang w:val="en-US" w:eastAsia="zh-CN"/>
              </w:rPr>
              <w:t>8</w:t>
            </w:r>
          </w:p>
        </w:tc>
        <w:tc>
          <w:tcPr>
            <w:tcW w:w="585" w:type="dxa"/>
            <w:tcBorders>
              <w:top w:val="single" w:color="auto" w:sz="4" w:space="0"/>
              <w:left w:val="nil"/>
              <w:bottom w:val="single" w:color="auto" w:sz="4" w:space="0"/>
              <w:right w:val="single" w:color="auto" w:sz="4" w:space="0"/>
            </w:tcBorders>
            <w:vAlign w:val="center"/>
          </w:tcPr>
          <w:p w14:paraId="7F57C5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CC2CC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发布的就业信息中包含歧视性内容的；为无合法身份证件的劳动者提供职业中介服务的；介绍劳动者从事法律、法规禁止从事的职业的；以暴力、胁迫、欺诈等方式进行职业中介活动的；超出核准的业务范围经营的；其他违反法律、法规规定的行为的处罚</w:t>
            </w:r>
          </w:p>
        </w:tc>
        <w:tc>
          <w:tcPr>
            <w:tcW w:w="1522" w:type="dxa"/>
            <w:tcBorders>
              <w:top w:val="single" w:color="auto" w:sz="4" w:space="0"/>
              <w:left w:val="nil"/>
              <w:bottom w:val="single" w:color="auto" w:sz="4" w:space="0"/>
              <w:right w:val="single" w:color="auto" w:sz="4" w:space="0"/>
            </w:tcBorders>
            <w:vAlign w:val="center"/>
          </w:tcPr>
          <w:p w14:paraId="2E083566">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08A6E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291F9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【部门规章】《就业服务与就业管理规定》（2007年11月5日劳动保障部令第28号，2022年1月7日第四次修订）第五十八条：禁止职业中介机构有下列行为：</w:t>
            </w:r>
          </w:p>
          <w:p w14:paraId="3B56C5A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（一）提供虚假就业信息；</w:t>
            </w:r>
          </w:p>
          <w:p w14:paraId="38AF1D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（二）发布的就业信息中包含歧视性内容；</w:t>
            </w:r>
          </w:p>
          <w:p w14:paraId="608EBF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（三）伪造、涂改、转让职业中介许可证；</w:t>
            </w:r>
          </w:p>
          <w:p w14:paraId="4C9DFD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（四）为无合法证照的用人单位提供职业中介服务；</w:t>
            </w:r>
          </w:p>
          <w:p w14:paraId="134F912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（五）介绍未满16周岁的未成年人就业；</w:t>
            </w:r>
          </w:p>
          <w:p w14:paraId="578FE0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（六）为无合法身份证件的劳动者提供职业中介服务；</w:t>
            </w:r>
          </w:p>
          <w:p w14:paraId="775524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（七）介绍劳动者从事法律、法规禁止从事的职业；</w:t>
            </w:r>
          </w:p>
          <w:p w14:paraId="69B144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（八）扣押劳动者的居民身份证和其他证件，或者向劳动者收取押金；</w:t>
            </w:r>
          </w:p>
          <w:p w14:paraId="3C8EDF8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（九）以暴力、胁迫、欺诈等方式进行职业中介活动；</w:t>
            </w:r>
          </w:p>
          <w:p w14:paraId="2FFB12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（十）超出核准的业务范围经营；</w:t>
            </w:r>
          </w:p>
          <w:p w14:paraId="1B6A69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（十一）其他违反法律、法规规定的行为。</w:t>
            </w:r>
          </w:p>
          <w:p w14:paraId="4F1841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503F5D44">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270D5D6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050C6F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23F3DF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05553E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1DD75E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5F298C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041BBEB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4B5191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D130F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40211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BFD33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66D12D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17EDA3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69D69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4B031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7D4B2F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5F8C0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9F4BA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046C4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D23B1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34F19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392B48C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77BEE2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5BC610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557182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84F756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3F881B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CFDD4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0E28E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24D27DEE">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B5B7D66">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39</w:t>
            </w:r>
          </w:p>
        </w:tc>
        <w:tc>
          <w:tcPr>
            <w:tcW w:w="585" w:type="dxa"/>
            <w:tcBorders>
              <w:top w:val="single" w:color="auto" w:sz="4" w:space="0"/>
              <w:left w:val="nil"/>
              <w:bottom w:val="single" w:color="auto" w:sz="4" w:space="0"/>
              <w:right w:val="single" w:color="auto" w:sz="4" w:space="0"/>
            </w:tcBorders>
            <w:vAlign w:val="center"/>
          </w:tcPr>
          <w:p w14:paraId="6613F1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6F81D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对未经许可擅自从事职业中介活动的行为的处罚</w:t>
            </w:r>
          </w:p>
        </w:tc>
        <w:tc>
          <w:tcPr>
            <w:tcW w:w="1522" w:type="dxa"/>
            <w:tcBorders>
              <w:top w:val="single" w:color="auto" w:sz="4" w:space="0"/>
              <w:left w:val="nil"/>
              <w:bottom w:val="single" w:color="auto" w:sz="4" w:space="0"/>
              <w:right w:val="single" w:color="auto" w:sz="4" w:space="0"/>
            </w:tcBorders>
            <w:vAlign w:val="center"/>
          </w:tcPr>
          <w:p w14:paraId="24241604">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FF63CD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7B90A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四条：违反本法规定，未经许可和登记，擅自从事职业中介活动的，由劳动行政部门或者其他主管部门依法予以关闭；有违法所得的，没收违法所得，并处1万元以上5万元以下的罚款。</w:t>
            </w:r>
          </w:p>
          <w:p w14:paraId="5AFAB2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人力资源市场暂行条例》（2018年6月29日国务院令第700号公布）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14:paraId="364B48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第十八条第一款：经营性人力资源服务机构从事职业中介活动的，应当依法向人力资源社会保障行政部门申请行政许可，取得人力资源服务许可证。</w:t>
            </w:r>
          </w:p>
          <w:p w14:paraId="3715B82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部门规章】《就业服务与就业管理规定》（2007年11月5日劳动保障部令第28号，2022年1月7日第四次修订）第七十条：违反本规定第四十七条规定，未经许可和登记，擅自从事职业中介活动的，由劳动保障行政部门或者其他主管部门按照就业促进法第六十四条规定予以处罚。</w:t>
            </w:r>
          </w:p>
          <w:p w14:paraId="02A4DF72">
            <w:pPr>
              <w:pStyle w:val="2"/>
              <w:rPr>
                <w:rFonts w:hint="eastAsia" w:eastAsia="仿宋_GB2312" w:cs="仿宋_GB2312"/>
                <w:snapToGrid w:val="0"/>
                <w:sz w:val="20"/>
                <w:szCs w:val="20"/>
              </w:rPr>
            </w:pPr>
            <w:r>
              <w:rPr>
                <w:rFonts w:hint="eastAsia" w:eastAsia="仿宋_GB2312" w:cs="仿宋_GB2312"/>
                <w:snapToGrid w:val="0"/>
                <w:sz w:val="20"/>
                <w:szCs w:val="20"/>
              </w:rPr>
              <w:t>第四十七条：职业中介实行行政许可制度。设立职业中介机构或其他机构开展职业中介活动，须经劳动保障行政部门批准，并获得职业中介许可证。未经依法许可和登记的机构，不得从事职业中介活动。</w:t>
            </w:r>
          </w:p>
          <w:p w14:paraId="5C2BF54E">
            <w:pPr>
              <w:pStyle w:val="2"/>
              <w:rPr>
                <w:rFonts w:eastAsia="仿宋_GB2312" w:cs="仿宋_GB2312"/>
                <w:snapToGrid w:val="0"/>
                <w:sz w:val="20"/>
                <w:szCs w:val="20"/>
              </w:rPr>
            </w:pPr>
            <w:r>
              <w:rPr>
                <w:rFonts w:hint="eastAsia" w:eastAsia="仿宋_GB2312" w:cs="仿宋_GB2312"/>
                <w:snapToGrid w:val="0"/>
                <w:sz w:val="20"/>
                <w:szCs w:val="20"/>
              </w:rPr>
              <w:t>4.【部门规章】《中外合资人才中介机构管理暂行规定》（2003年9月4日人事部、商务部、国家工商行政管理总局令第2号公布，2015年4月30日第二次修正）第十七条：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w:t>
            </w:r>
          </w:p>
        </w:tc>
        <w:tc>
          <w:tcPr>
            <w:tcW w:w="4513" w:type="dxa"/>
            <w:tcBorders>
              <w:top w:val="single" w:color="auto" w:sz="4" w:space="0"/>
              <w:left w:val="nil"/>
              <w:bottom w:val="single" w:color="auto" w:sz="4" w:space="0"/>
              <w:right w:val="single" w:color="auto" w:sz="4" w:space="0"/>
            </w:tcBorders>
            <w:vAlign w:val="center"/>
          </w:tcPr>
          <w:p w14:paraId="76E5D3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7F50EF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72C93E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60DA22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440E77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6132F0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616557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7C1D9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BF036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85A70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E8164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1C938F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CF6B3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3A4F3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157DF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7C0B10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BA489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BAB3F1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77371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622A0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EBCCD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510799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574C00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3DBADB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46DC82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38CD6A8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17289C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2BFD3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A0F3CF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FBC49EE">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CD0FBF0">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0</w:t>
            </w:r>
          </w:p>
        </w:tc>
        <w:tc>
          <w:tcPr>
            <w:tcW w:w="585" w:type="dxa"/>
            <w:tcBorders>
              <w:top w:val="single" w:color="auto" w:sz="4" w:space="0"/>
              <w:left w:val="nil"/>
              <w:bottom w:val="single" w:color="auto" w:sz="4" w:space="0"/>
              <w:right w:val="single" w:color="auto" w:sz="4" w:space="0"/>
            </w:tcBorders>
            <w:vAlign w:val="center"/>
          </w:tcPr>
          <w:p w14:paraId="7FF0820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351A02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对人力资源服务机构（职业中介机构）发布的招聘信息不真实、不合法，未依法开展人力资源服务业务的处罚</w:t>
            </w:r>
          </w:p>
        </w:tc>
        <w:tc>
          <w:tcPr>
            <w:tcW w:w="1522" w:type="dxa"/>
            <w:tcBorders>
              <w:top w:val="single" w:color="auto" w:sz="4" w:space="0"/>
              <w:left w:val="nil"/>
              <w:bottom w:val="single" w:color="auto" w:sz="4" w:space="0"/>
              <w:right w:val="single" w:color="auto" w:sz="4" w:space="0"/>
            </w:tcBorders>
            <w:vAlign w:val="center"/>
          </w:tcPr>
          <w:p w14:paraId="0A89ACC9">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7739E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633E2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238C29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人力资源市场暂行条例》（2018年6月29日国务院令第700号公布）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14:paraId="4690BC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四条：用人单位发布或者向人力资源服务机构提供的单位基本情况、招聘人数、招聘条件、工作内容、工作地点、基本劳动报酬等招聘信息，应当真实、合法，不得含有民族、种族、性别、宗教信仰等方面的歧视性内容。</w:t>
            </w:r>
          </w:p>
          <w:p w14:paraId="2FE143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用人单位自主招用人员，需要建立劳动关系的，应当依法与劳动者订立劳动合同，并按照国家有关规定办理社会保险等相关手续。</w:t>
            </w:r>
          </w:p>
          <w:p w14:paraId="4C5A17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第二十七条：人力资源服务机构接受用人单位委托招聘人员或者开展其他人力资源服务，不得采取欺诈、暴力、胁迫或者其他不正当手段，不得以招聘为名牟取不正当利益，不得介绍单位或者个人从事违法活动。</w:t>
            </w:r>
          </w:p>
          <w:p w14:paraId="2B7E67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14:paraId="6764ED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举办大型现场招聘会，应当符合《大型群众性活动安全管理条例》等法律法规的规定。</w:t>
            </w:r>
          </w:p>
          <w:p w14:paraId="5DD6B3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第二十九条：人力资源服务机构发布人力资源供求信息，应当建立健全信息发布审查和投诉处理机制，确保发布的信息真实、合法、有效。</w:t>
            </w:r>
          </w:p>
          <w:p w14:paraId="150F36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人力资源服务机构在业务活动中收集用人单位和个人信息的，不得泄露或者违法使用所知悉的商业秘密和个人信息。</w:t>
            </w:r>
          </w:p>
          <w:p w14:paraId="0D1879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第三十条：经营性人力资源服务机构接受用人单位委托提供人力资源服务外包的，不得改变用人单位与个人的劳动关系，不得与用人单位串通侵害个人的合法权益。</w:t>
            </w:r>
          </w:p>
          <w:p w14:paraId="4E03C2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第三十一条：人力资源服务机构通过互联网提供人力资源服务的，应当遵守本条例和国家有关网络安全、互联网信息服务管理的规定。</w:t>
            </w:r>
          </w:p>
        </w:tc>
        <w:tc>
          <w:tcPr>
            <w:tcW w:w="4513" w:type="dxa"/>
            <w:tcBorders>
              <w:top w:val="single" w:color="auto" w:sz="4" w:space="0"/>
              <w:left w:val="nil"/>
              <w:bottom w:val="single" w:color="auto" w:sz="4" w:space="0"/>
              <w:right w:val="single" w:color="auto" w:sz="4" w:space="0"/>
            </w:tcBorders>
            <w:vAlign w:val="center"/>
          </w:tcPr>
          <w:p w14:paraId="1F1BE6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512E74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4E93B7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AFAB2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3CABB6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7AA096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726DC2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7ED646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58C23E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0B5111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01665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159A3D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303D3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7E960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21CF9A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44D5F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0BCF1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162C44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9A9A4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104EA2E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5A7B46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806D2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1037A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1AC1AA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28969A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75C4D2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1F3231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0DE0B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0CFE7F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590369B">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84365F1">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1</w:t>
            </w:r>
          </w:p>
        </w:tc>
        <w:tc>
          <w:tcPr>
            <w:tcW w:w="585" w:type="dxa"/>
            <w:tcBorders>
              <w:top w:val="single" w:color="auto" w:sz="4" w:space="0"/>
              <w:left w:val="nil"/>
              <w:bottom w:val="single" w:color="auto" w:sz="4" w:space="0"/>
              <w:right w:val="single" w:color="auto" w:sz="4" w:space="0"/>
            </w:tcBorders>
            <w:vAlign w:val="center"/>
          </w:tcPr>
          <w:p w14:paraId="55F5DE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5BA84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对职业中介机构向劳动者收取押金的行为的处罚</w:t>
            </w:r>
          </w:p>
        </w:tc>
        <w:tc>
          <w:tcPr>
            <w:tcW w:w="1522" w:type="dxa"/>
            <w:tcBorders>
              <w:top w:val="single" w:color="auto" w:sz="4" w:space="0"/>
              <w:left w:val="nil"/>
              <w:bottom w:val="single" w:color="auto" w:sz="4" w:space="0"/>
              <w:right w:val="single" w:color="auto" w:sz="4" w:space="0"/>
            </w:tcBorders>
            <w:vAlign w:val="center"/>
          </w:tcPr>
          <w:p w14:paraId="431A3ADB">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7C0F1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4C7309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六条第二款：违反本法规定，职业中介机构向劳动者收取押金的，由劳动行政部门责令限期退还劳动者，并以每人五百元以上二千元以下的标准处以罚款。</w:t>
            </w:r>
          </w:p>
        </w:tc>
        <w:tc>
          <w:tcPr>
            <w:tcW w:w="4513" w:type="dxa"/>
            <w:tcBorders>
              <w:top w:val="single" w:color="auto" w:sz="4" w:space="0"/>
              <w:left w:val="nil"/>
              <w:bottom w:val="single" w:color="auto" w:sz="4" w:space="0"/>
              <w:right w:val="single" w:color="auto" w:sz="4" w:space="0"/>
            </w:tcBorders>
            <w:vAlign w:val="center"/>
          </w:tcPr>
          <w:p w14:paraId="1CBA47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31653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3EE6E0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597C49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33E2BA7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254537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3F367D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5CB974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FBBECA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4A087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4A2406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FA7A0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7F4DF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637F0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828DA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931BD0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276F17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E796A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0FECC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1AE3D0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2CE091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0B07D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642871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31D001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08623D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4C833E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62BA9B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E7D7C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3640E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0B496EE">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A389DCF">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2</w:t>
            </w:r>
          </w:p>
        </w:tc>
        <w:tc>
          <w:tcPr>
            <w:tcW w:w="585" w:type="dxa"/>
            <w:tcBorders>
              <w:top w:val="single" w:color="auto" w:sz="4" w:space="0"/>
              <w:left w:val="nil"/>
              <w:bottom w:val="single" w:color="auto" w:sz="4" w:space="0"/>
              <w:right w:val="single" w:color="auto" w:sz="4" w:space="0"/>
            </w:tcBorders>
            <w:vAlign w:val="center"/>
          </w:tcPr>
          <w:p w14:paraId="467773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6ECAC1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对社会保险服务机构以欺诈、伪造证明材料或者其他手段骗取社会保险基金支出的处罚</w:t>
            </w:r>
          </w:p>
        </w:tc>
        <w:tc>
          <w:tcPr>
            <w:tcW w:w="1522" w:type="dxa"/>
            <w:tcBorders>
              <w:top w:val="single" w:color="auto" w:sz="4" w:space="0"/>
              <w:left w:val="nil"/>
              <w:bottom w:val="single" w:color="auto" w:sz="4" w:space="0"/>
              <w:right w:val="single" w:color="auto" w:sz="4" w:space="0"/>
            </w:tcBorders>
            <w:vAlign w:val="center"/>
          </w:tcPr>
          <w:p w14:paraId="04080E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1.骗取工伤保险基金支出的处罚</w:t>
            </w:r>
          </w:p>
          <w:p w14:paraId="1AFBCF0C">
            <w:pPr>
              <w:widowControl/>
              <w:adjustRightInd w:val="0"/>
              <w:snapToGrid w:val="0"/>
              <w:spacing w:line="300" w:lineRule="exact"/>
              <w:jc w:val="center"/>
              <w:rPr>
                <w:rFonts w:eastAsia="仿宋_GB2312" w:cs="仿宋_GB2312"/>
                <w:snapToGrid w:val="0"/>
                <w:sz w:val="20"/>
                <w:szCs w:val="20"/>
              </w:rPr>
            </w:pPr>
          </w:p>
          <w:p w14:paraId="40AFF0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2.骗取失业保险基金支出的处罚</w:t>
            </w:r>
          </w:p>
        </w:tc>
        <w:tc>
          <w:tcPr>
            <w:tcW w:w="1076" w:type="dxa"/>
            <w:tcBorders>
              <w:top w:val="single" w:color="auto" w:sz="4" w:space="0"/>
              <w:left w:val="nil"/>
              <w:bottom w:val="single" w:color="auto" w:sz="4" w:space="0"/>
              <w:right w:val="single" w:color="auto" w:sz="4" w:space="0"/>
            </w:tcBorders>
            <w:vAlign w:val="center"/>
          </w:tcPr>
          <w:p w14:paraId="676A3F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934011F">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【法律】《中华人民共和国社会保险法》（</w:t>
            </w:r>
            <w:r>
              <w:rPr>
                <w:rFonts w:eastAsia="仿宋_GB2312" w:cs="仿宋_GB2312"/>
                <w:snapToGrid w:val="0"/>
                <w:sz w:val="20"/>
                <w:szCs w:val="20"/>
              </w:rPr>
              <w:t>2010</w:t>
            </w:r>
            <w:r>
              <w:rPr>
                <w:rFonts w:hint="eastAsia" w:eastAsia="仿宋_GB2312" w:cs="仿宋_GB2312"/>
                <w:snapToGrid w:val="0"/>
                <w:sz w:val="20"/>
                <w:szCs w:val="20"/>
              </w:rPr>
              <w:t>年</w:t>
            </w:r>
            <w:r>
              <w:rPr>
                <w:rFonts w:eastAsia="仿宋_GB2312" w:cs="仿宋_GB2312"/>
                <w:snapToGrid w:val="0"/>
                <w:sz w:val="20"/>
                <w:szCs w:val="20"/>
              </w:rPr>
              <w:t>10</w:t>
            </w:r>
            <w:r>
              <w:rPr>
                <w:rFonts w:hint="eastAsia" w:eastAsia="仿宋_GB2312" w:cs="仿宋_GB2312"/>
                <w:snapToGrid w:val="0"/>
                <w:sz w:val="20"/>
                <w:szCs w:val="20"/>
              </w:rPr>
              <w:t>月</w:t>
            </w:r>
            <w:r>
              <w:rPr>
                <w:rFonts w:eastAsia="仿宋_GB2312" w:cs="仿宋_GB2312"/>
                <w:snapToGrid w:val="0"/>
                <w:sz w:val="20"/>
                <w:szCs w:val="20"/>
              </w:rPr>
              <w:t>28</w:t>
            </w:r>
            <w:r>
              <w:rPr>
                <w:rFonts w:hint="eastAsia" w:eastAsia="仿宋_GB2312" w:cs="仿宋_GB2312"/>
                <w:snapToGrid w:val="0"/>
                <w:sz w:val="20"/>
                <w:szCs w:val="20"/>
              </w:rPr>
              <w:t>日通过，</w:t>
            </w:r>
            <w:r>
              <w:rPr>
                <w:rFonts w:eastAsia="仿宋_GB2312" w:cs="仿宋_GB2312"/>
                <w:snapToGrid w:val="0"/>
                <w:sz w:val="20"/>
                <w:szCs w:val="20"/>
              </w:rPr>
              <w:t>2018</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29</w:t>
            </w:r>
            <w:r>
              <w:rPr>
                <w:rFonts w:hint="eastAsia" w:eastAsia="仿宋_GB2312" w:cs="仿宋_GB2312"/>
                <w:snapToGrid w:val="0"/>
                <w:sz w:val="20"/>
                <w:szCs w:val="20"/>
              </w:rPr>
              <w:t>日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21756DFA">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部门规章】《实施〈中华人民共和国社会保险法〉若干规定》（人力资源社会保障部令第13号）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14:paraId="2E3E0179">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w:t>
            </w:r>
            <w:r>
              <w:rPr>
                <w:rFonts w:hint="eastAsia" w:eastAsia="仿宋_GB2312" w:cs="仿宋_GB2312"/>
                <w:snapToGrid w:val="0"/>
                <w:sz w:val="20"/>
                <w:szCs w:val="20"/>
              </w:rPr>
              <w:t>【行政法规】《工伤保险条例》（2003年4月27日国务院令第375号公布，2010年12月20日修订）第六十条：……医疗机构、辅助器具配置机构骗取工伤保险基金支出的，由社会保险行政部门责令退还，处骗取金额</w:t>
            </w:r>
            <w:r>
              <w:rPr>
                <w:rFonts w:eastAsia="仿宋_GB2312" w:cs="仿宋_GB2312"/>
                <w:snapToGrid w:val="0"/>
                <w:sz w:val="20"/>
                <w:szCs w:val="20"/>
              </w:rPr>
              <w:t>2</w:t>
            </w:r>
            <w:r>
              <w:rPr>
                <w:rFonts w:hint="eastAsia" w:eastAsia="仿宋_GB2312" w:cs="仿宋_GB2312"/>
                <w:snapToGrid w:val="0"/>
                <w:sz w:val="20"/>
                <w:szCs w:val="20"/>
              </w:rPr>
              <w:t>倍以上</w:t>
            </w:r>
            <w:r>
              <w:rPr>
                <w:rFonts w:eastAsia="仿宋_GB2312" w:cs="仿宋_GB2312"/>
                <w:snapToGrid w:val="0"/>
                <w:sz w:val="20"/>
                <w:szCs w:val="20"/>
              </w:rPr>
              <w:t>5</w:t>
            </w:r>
            <w:r>
              <w:rPr>
                <w:rFonts w:hint="eastAsia" w:eastAsia="仿宋_GB2312" w:cs="仿宋_GB2312"/>
                <w:snapToGrid w:val="0"/>
                <w:sz w:val="20"/>
                <w:szCs w:val="20"/>
              </w:rPr>
              <w:t>倍以下的罚款。情节严重，构成犯罪的，依法追究刑事责任。……</w:t>
            </w:r>
          </w:p>
          <w:p w14:paraId="46E81EED">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4.</w:t>
            </w:r>
            <w:r>
              <w:rPr>
                <w:rFonts w:hint="eastAsia" w:eastAsia="仿宋_GB2312" w:cs="仿宋_GB2312"/>
                <w:snapToGrid w:val="0"/>
                <w:sz w:val="20"/>
                <w:szCs w:val="20"/>
              </w:rPr>
              <w:t>【部门规章】《工伤保险辅助器具配置管理办法》（2016年2月16日人社部、民政部、卫计委令第27号，2018年12月14日修订）第二十九条：……辅助器具装配机构、医疗机构骗取工伤保险基金支出的，按照《工伤保险条例》第六十条的规定，由人力资源社会保障行政部门责令退还，处骗取金额</w:t>
            </w:r>
            <w:r>
              <w:rPr>
                <w:rFonts w:eastAsia="仿宋_GB2312" w:cs="仿宋_GB2312"/>
                <w:snapToGrid w:val="0"/>
                <w:sz w:val="20"/>
                <w:szCs w:val="20"/>
              </w:rPr>
              <w:t>2</w:t>
            </w:r>
            <w:r>
              <w:rPr>
                <w:rFonts w:hint="eastAsia" w:eastAsia="仿宋_GB2312" w:cs="仿宋_GB2312"/>
                <w:snapToGrid w:val="0"/>
                <w:sz w:val="20"/>
                <w:szCs w:val="20"/>
              </w:rPr>
              <w:t>倍以上</w:t>
            </w:r>
            <w:r>
              <w:rPr>
                <w:rFonts w:eastAsia="仿宋_GB2312" w:cs="仿宋_GB2312"/>
                <w:snapToGrid w:val="0"/>
                <w:sz w:val="20"/>
                <w:szCs w:val="20"/>
              </w:rPr>
              <w:t>5</w:t>
            </w:r>
            <w:r>
              <w:rPr>
                <w:rFonts w:hint="eastAsia" w:eastAsia="仿宋_GB2312" w:cs="仿宋_GB2312"/>
                <w:snapToGrid w:val="0"/>
                <w:sz w:val="20"/>
                <w:szCs w:val="20"/>
              </w:rPr>
              <w:t>倍以下的罚款；情节严重，构成犯罪的，依法追究刑事责任。</w:t>
            </w:r>
          </w:p>
          <w:p w14:paraId="7B553018">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5.</w:t>
            </w:r>
            <w:r>
              <w:rPr>
                <w:rFonts w:hint="eastAsia" w:eastAsia="仿宋_GB2312" w:cs="仿宋_GB2312"/>
                <w:snapToGrid w:val="0"/>
                <w:sz w:val="20"/>
                <w:szCs w:val="20"/>
              </w:rPr>
              <w:t>【部门规章】《社会保险基金行政监督办法》（2022年人力资源社会保障部令第48号公布）第三十一条：社会保险服务机构有下列行为之一，以欺诈、伪造证明材料或者其他手段骗取社会保险基金支出的，按照《中华人民共和国社会保险法》第八十七条的规定处理：</w:t>
            </w:r>
          </w:p>
          <w:p w14:paraId="5578FD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（一）工伤保险协议医疗机构、工伤康复协议机构、工伤保险辅助器具配置协议机构、工伤预防项目实施单位等通过提供虚假证明材料及相关报销票据等手段，骗取工伤保险基金支出的；</w:t>
            </w:r>
          </w:p>
          <w:p w14:paraId="073556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（二）培训机构通过提供虚假培训材料等手段，骗取失业保险培训补贴的；</w:t>
            </w:r>
          </w:p>
          <w:p w14:paraId="74000A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（三）其他以欺诈、伪造证明材料等手段骗取社会保险基金支出的行为。</w:t>
            </w:r>
          </w:p>
        </w:tc>
        <w:tc>
          <w:tcPr>
            <w:tcW w:w="4513" w:type="dxa"/>
            <w:tcBorders>
              <w:top w:val="single" w:color="auto" w:sz="4" w:space="0"/>
              <w:left w:val="nil"/>
              <w:bottom w:val="single" w:color="auto" w:sz="4" w:space="0"/>
              <w:right w:val="single" w:color="auto" w:sz="4" w:space="0"/>
            </w:tcBorders>
            <w:vAlign w:val="center"/>
          </w:tcPr>
          <w:p w14:paraId="7C818B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3DFEAD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0F3157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672D25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454BBD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5DDD90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127FCE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0187A6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3EF57E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90C5E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E4260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678610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14:paraId="7C52EE32">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3-1.【法律】</w:t>
            </w:r>
            <w:r>
              <w:rPr>
                <w:rFonts w:hint="eastAsia" w:eastAsia="仿宋_GB2312" w:cs="仿宋_GB2312"/>
                <w:snapToGrid w:val="0"/>
                <w:sz w:val="20"/>
                <w:szCs w:val="20"/>
              </w:rPr>
              <w:t>《中华人民共和国行政处罚法》（1996年3月17日通过，2021年1月22日修订）</w:t>
            </w:r>
            <w:r>
              <w:rPr>
                <w:rFonts w:eastAsia="仿宋_GB2312" w:cs="仿宋_GB2312"/>
                <w:snapToGrid w:val="0"/>
                <w:sz w:val="20"/>
                <w:szCs w:val="20"/>
              </w:rPr>
              <w:t>第五十七条  调查终结，行政机关负责人应当对调查结果进行审查，根据不同情况，分别作出如下决定：</w:t>
            </w:r>
          </w:p>
          <w:p w14:paraId="5039A0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9DC1D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BDF54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A942B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383D57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77EF2EA">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5A81D362">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4.【法律】</w:t>
            </w:r>
            <w:r>
              <w:rPr>
                <w:rFonts w:hint="eastAsia" w:eastAsia="仿宋_GB2312" w:cs="仿宋_GB2312"/>
                <w:snapToGrid w:val="0"/>
                <w:sz w:val="20"/>
                <w:szCs w:val="20"/>
              </w:rPr>
              <w:t>《中华人民共和国行政处罚法》（1996年3月17日通过，2021年1月22日修订）第四十四条</w:t>
            </w:r>
            <w:r>
              <w:rPr>
                <w:rFonts w:eastAsia="仿宋_GB2312" w:cs="仿宋_GB2312"/>
                <w:snapToGrid w:val="0"/>
                <w:sz w:val="20"/>
                <w:szCs w:val="20"/>
              </w:rPr>
              <w:t xml:space="preserve"> </w:t>
            </w:r>
            <w:r>
              <w:rPr>
                <w:rFonts w:hint="eastAsia" w:eastAsia="仿宋_GB2312" w:cs="仿宋_GB2312"/>
                <w:snapToGrid w:val="0"/>
                <w:sz w:val="20"/>
                <w:szCs w:val="20"/>
              </w:rPr>
              <w:t>行政机关在作出行政处罚决定之前，应当告知当事人拟作出的行政处罚内容及事实、理由、依据，并告知当事人依法享有的陈述、申辩、要求听证等权利。</w:t>
            </w:r>
          </w:p>
          <w:p w14:paraId="7D0A3AE7">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5.【法律】</w:t>
            </w:r>
            <w:r>
              <w:rPr>
                <w:rFonts w:hint="eastAsia" w:eastAsia="仿宋_GB2312" w:cs="仿宋_GB2312"/>
                <w:snapToGrid w:val="0"/>
                <w:sz w:val="20"/>
                <w:szCs w:val="20"/>
              </w:rPr>
              <w:t>《中华人民共和国行政处罚法》（1996年3月17日通过，2021年1月22日修订）第五十九条</w:t>
            </w:r>
            <w:r>
              <w:rPr>
                <w:rFonts w:eastAsia="仿宋_GB2312" w:cs="仿宋_GB2312"/>
                <w:snapToGrid w:val="0"/>
                <w:sz w:val="20"/>
                <w:szCs w:val="20"/>
              </w:rPr>
              <w:t xml:space="preserve"> </w:t>
            </w:r>
            <w:r>
              <w:rPr>
                <w:rFonts w:hint="eastAsia" w:eastAsia="仿宋_GB2312" w:cs="仿宋_GB2312"/>
                <w:snapToGrid w:val="0"/>
                <w:sz w:val="20"/>
                <w:szCs w:val="20"/>
              </w:rPr>
              <w:t>行政机关依照本法第五十七条的规定给予行政处罚，应当制作行政处罚决定书。行政处罚决定书应当载明下列事项：………</w:t>
            </w:r>
          </w:p>
          <w:p w14:paraId="76DDEF58">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6.【法律】</w:t>
            </w:r>
            <w:r>
              <w:rPr>
                <w:rFonts w:hint="eastAsia" w:eastAsia="仿宋_GB2312" w:cs="仿宋_GB2312"/>
                <w:snapToGrid w:val="0"/>
                <w:sz w:val="20"/>
                <w:szCs w:val="20"/>
              </w:rPr>
              <w:t>《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14E541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第六十一条</w:t>
            </w:r>
            <w:r>
              <w:rPr>
                <w:rFonts w:eastAsia="仿宋_GB2312" w:cs="仿宋_GB2312"/>
                <w:snapToGrid w:val="0"/>
                <w:sz w:val="20"/>
                <w:szCs w:val="20"/>
              </w:rPr>
              <w:t xml:space="preserve"> </w:t>
            </w:r>
            <w:r>
              <w:rPr>
                <w:rFonts w:hint="eastAsia" w:eastAsia="仿宋_GB2312" w:cs="仿宋_GB2312"/>
                <w:snapToGrid w:val="0"/>
                <w:sz w:val="20"/>
                <w:szCs w:val="20"/>
              </w:rPr>
              <w:t>行政处罚决定书应当在宣告后当场交付当事人；当事人不在场的，行政机关应当在七日内依照《中华人民共和国民事诉讼法》的有关规定，将行政处罚决定书送达当事人。</w:t>
            </w:r>
          </w:p>
          <w:p w14:paraId="0657DB39">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7.【法律】</w:t>
            </w:r>
            <w:r>
              <w:rPr>
                <w:rFonts w:hint="eastAsia" w:eastAsia="仿宋_GB2312" w:cs="仿宋_GB2312"/>
                <w:snapToGrid w:val="0"/>
                <w:sz w:val="20"/>
                <w:szCs w:val="20"/>
              </w:rPr>
              <w:t>《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14:paraId="340AED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14:paraId="04A5B6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14:paraId="389B5D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14:paraId="7E3926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行政机关批准延期、分期缴纳罚款的，申请人民法院强制执行的期限，自暂缓或者分期缴纳罚款期限结束之日起计算。</w:t>
            </w:r>
          </w:p>
          <w:p w14:paraId="1C5A89CE">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p w14:paraId="13AB3EF2">
            <w:pPr>
              <w:widowControl/>
              <w:adjustRightInd w:val="0"/>
              <w:snapToGrid w:val="0"/>
              <w:spacing w:line="300" w:lineRule="exact"/>
              <w:jc w:val="center"/>
              <w:rPr>
                <w:rFonts w:eastAsia="仿宋_GB2312" w:cs="仿宋_GB2312"/>
                <w:snapToGrid w:val="0"/>
                <w:sz w:val="20"/>
                <w:szCs w:val="20"/>
              </w:rPr>
            </w:pPr>
          </w:p>
        </w:tc>
      </w:tr>
      <w:tr w14:paraId="2C6C3AB9">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DA74A37">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43</w:t>
            </w:r>
          </w:p>
        </w:tc>
        <w:tc>
          <w:tcPr>
            <w:tcW w:w="585" w:type="dxa"/>
            <w:tcBorders>
              <w:top w:val="single" w:color="auto" w:sz="4" w:space="0"/>
              <w:left w:val="nil"/>
              <w:bottom w:val="single" w:color="auto" w:sz="4" w:space="0"/>
              <w:right w:val="single" w:color="auto" w:sz="4" w:space="0"/>
            </w:tcBorders>
            <w:vAlign w:val="center"/>
          </w:tcPr>
          <w:p w14:paraId="625AFA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D7D62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对单位或个人以欺诈、伪造证明材料或者其他手段骗取社会保险待遇的处罚</w:t>
            </w:r>
          </w:p>
        </w:tc>
        <w:tc>
          <w:tcPr>
            <w:tcW w:w="1522" w:type="dxa"/>
            <w:tcBorders>
              <w:top w:val="single" w:color="auto" w:sz="4" w:space="0"/>
              <w:left w:val="nil"/>
              <w:bottom w:val="single" w:color="auto" w:sz="4" w:space="0"/>
              <w:right w:val="single" w:color="auto" w:sz="4" w:space="0"/>
            </w:tcBorders>
            <w:vAlign w:val="center"/>
          </w:tcPr>
          <w:p w14:paraId="58DA36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1.骗取养老保险待遇</w:t>
            </w:r>
          </w:p>
          <w:p w14:paraId="5547F439">
            <w:pPr>
              <w:widowControl/>
              <w:adjustRightInd w:val="0"/>
              <w:snapToGrid w:val="0"/>
              <w:spacing w:line="300" w:lineRule="exact"/>
              <w:jc w:val="center"/>
              <w:rPr>
                <w:rFonts w:eastAsia="仿宋_GB2312" w:cs="仿宋_GB2312"/>
                <w:snapToGrid w:val="0"/>
                <w:sz w:val="20"/>
                <w:szCs w:val="20"/>
              </w:rPr>
            </w:pPr>
          </w:p>
          <w:p w14:paraId="32616C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2.骗取工伤保险待遇</w:t>
            </w:r>
          </w:p>
          <w:p w14:paraId="3C28BC4D">
            <w:pPr>
              <w:widowControl/>
              <w:adjustRightInd w:val="0"/>
              <w:snapToGrid w:val="0"/>
              <w:spacing w:line="300" w:lineRule="exact"/>
              <w:jc w:val="center"/>
              <w:rPr>
                <w:rFonts w:eastAsia="仿宋_GB2312" w:cs="仿宋_GB2312"/>
                <w:snapToGrid w:val="0"/>
                <w:sz w:val="20"/>
                <w:szCs w:val="20"/>
              </w:rPr>
            </w:pPr>
          </w:p>
          <w:p w14:paraId="012045F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3.骗取失业保险待遇</w:t>
            </w:r>
          </w:p>
        </w:tc>
        <w:tc>
          <w:tcPr>
            <w:tcW w:w="1076" w:type="dxa"/>
            <w:tcBorders>
              <w:top w:val="single" w:color="auto" w:sz="4" w:space="0"/>
              <w:left w:val="nil"/>
              <w:bottom w:val="single" w:color="auto" w:sz="4" w:space="0"/>
              <w:right w:val="single" w:color="auto" w:sz="4" w:space="0"/>
            </w:tcBorders>
            <w:vAlign w:val="center"/>
          </w:tcPr>
          <w:p w14:paraId="02B10B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94C6C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八十八条：以欺诈、伪造证明材料或者其他手段骗取社会保险待遇的，由社会保险行政部门责令退回骗取的社会保险金，处骗取金额二倍以上五倍以下的罚款。</w:t>
            </w:r>
          </w:p>
          <w:p w14:paraId="32A22E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2.【行政法规】《工伤保险条例》（2003年4月27日国务院令第375号公布，2010年12月20日修订）第六十条： 用人单位、工伤职工或者其近亲属骗取工伤保险待遇的……由社会保险行政部门责令退还，处骗取金额2倍以上5倍以下的罚款……</w:t>
            </w:r>
          </w:p>
          <w:p w14:paraId="168143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失业保险条例》（1999年国务院令第258号发布）第二十八条：不符合享受失业保险待遇条件，骗取失业保险金和其他失业保险待遇的，由社会保险经办机构责令退还；情节严重的，由劳动保障行政部门处骗取金额1倍以上3倍以下的罚款。</w:t>
            </w:r>
          </w:p>
          <w:p w14:paraId="103BE3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社会保险基金先行支付暂行办法》（2011年6月29日人社部令第15号公布，2018年12月14日修订）第十六条：个人隐瞒已经从第三人或者用人单位处获得医疗费用、工伤医疗费用或者工伤保险待遇，向社会保险经办机构申请并获得社会保险基金先行支付的，按照社会保险法第八十八条的规定处理。</w:t>
            </w:r>
          </w:p>
          <w:p w14:paraId="3EE4E2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工伤职工劳动能力鉴定管理办法》（2014年2月20日人社部、卫计委令第21号，2018年12月14日修订）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14:paraId="7587A2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工伤保险辅助器具配置管理办法》（2016年2月16日人社部、民政部、卫计委令第27号，2018年12月14日修订）第二十九条：用人单位、工伤职工或者其近亲属骗取工伤保险待遇，按照《工伤保险条例》第六十条的规定，由人力资源社会保障行政部门责令退还，处骗取金额2倍以上5倍以下的罚款；情节严重，构成犯罪的，依法追究刑事责任。</w:t>
            </w:r>
          </w:p>
        </w:tc>
        <w:tc>
          <w:tcPr>
            <w:tcW w:w="4513" w:type="dxa"/>
            <w:tcBorders>
              <w:top w:val="single" w:color="auto" w:sz="4" w:space="0"/>
              <w:left w:val="nil"/>
              <w:bottom w:val="single" w:color="auto" w:sz="4" w:space="0"/>
              <w:right w:val="single" w:color="auto" w:sz="4" w:space="0"/>
            </w:tcBorders>
            <w:vAlign w:val="center"/>
          </w:tcPr>
          <w:p w14:paraId="588C54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321300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41BE910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10A9E7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03E8DE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11C996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464708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5D7B94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4DDE27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59A30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572E9A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45DF3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14:paraId="42F868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3-1.【法律】《中华人民共和国行政处罚法》（1996年3月17日通过，2021年1月22日修订）第五十七条：调查终结，行政机关负责人应当对调查结果进行审查，根据不同情况，分别作出如下决定：</w:t>
            </w:r>
          </w:p>
          <w:p w14:paraId="58415C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49A9D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E8445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F4468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371561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17DB9C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02AC52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4.【法律】《中华人民共和国行政处罚法》（1996年3月17日通过，2021年1月22日修订）第四十四条 行政机关在作出行政处罚决定之前，应当告知当事人拟作出的行政处罚内容及事实、理由、依据，并告知当事人依法享有的陈述、申辩、要求听证等权利。</w:t>
            </w:r>
          </w:p>
          <w:p w14:paraId="4F1CEB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 行政机关依照本法第五十七条的规定给予行政处罚，应当制作行政处罚决定书。行政处罚决定书应当载明下列事项：………</w:t>
            </w:r>
          </w:p>
          <w:p w14:paraId="460D9B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5FECB6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第六十一条 行政处罚决定书应当在宣告后当场交付当事人；当事人不在场的，行政机关应当在七日内依照《中华人民共和国民事诉讼法》的有关规定，将行政处罚决定书送达当事人。</w:t>
            </w:r>
          </w:p>
          <w:p w14:paraId="20C3A4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14:paraId="655040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14:paraId="5B6020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14:paraId="2CFE0D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14:paraId="100C18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行政机关批准延期、分期缴纳罚款的，申请人民法院强制执行的期限，自暂缓或者分期缴纳罚款期限结束之日起计算。</w:t>
            </w:r>
          </w:p>
          <w:p w14:paraId="48A83E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tc>
      </w:tr>
      <w:tr w14:paraId="10F3D3D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807D689">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4</w:t>
            </w:r>
          </w:p>
        </w:tc>
        <w:tc>
          <w:tcPr>
            <w:tcW w:w="585" w:type="dxa"/>
            <w:tcBorders>
              <w:top w:val="single" w:color="auto" w:sz="4" w:space="0"/>
              <w:left w:val="nil"/>
              <w:bottom w:val="single" w:color="auto" w:sz="4" w:space="0"/>
              <w:right w:val="single" w:color="auto" w:sz="4" w:space="0"/>
            </w:tcBorders>
            <w:vAlign w:val="center"/>
          </w:tcPr>
          <w:p w14:paraId="300155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3C2355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对隐匿、转移、侵占、挪用社会保险基金或违规投资运营的处罚</w:t>
            </w:r>
          </w:p>
        </w:tc>
        <w:tc>
          <w:tcPr>
            <w:tcW w:w="1522" w:type="dxa"/>
            <w:tcBorders>
              <w:top w:val="single" w:color="auto" w:sz="4" w:space="0"/>
              <w:left w:val="nil"/>
              <w:bottom w:val="single" w:color="auto" w:sz="4" w:space="0"/>
              <w:right w:val="single" w:color="auto" w:sz="4" w:space="0"/>
            </w:tcBorders>
            <w:vAlign w:val="center"/>
          </w:tcPr>
          <w:p w14:paraId="3EEFD88B">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22AE4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646AA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九十一条：违反本法规定，隐匿、转移、侵占、挪用社会保险基金或者违规投资运营的，由社会保险行政部门、财政部门、审计机关责令追回；有违法所得的，没收违法所得……。</w:t>
            </w:r>
          </w:p>
          <w:p w14:paraId="758AA06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失业保险条例》（1999年国务院令第258号发布）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14:paraId="7CB513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部门规章】《实施〈中华人民共和国社会保险法〉若干规定》（人力资源社会保障部令第13号）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tc>
        <w:tc>
          <w:tcPr>
            <w:tcW w:w="4513" w:type="dxa"/>
            <w:tcBorders>
              <w:top w:val="single" w:color="auto" w:sz="4" w:space="0"/>
              <w:left w:val="nil"/>
              <w:bottom w:val="single" w:color="auto" w:sz="4" w:space="0"/>
              <w:right w:val="single" w:color="auto" w:sz="4" w:space="0"/>
            </w:tcBorders>
            <w:vAlign w:val="center"/>
          </w:tcPr>
          <w:p w14:paraId="63723B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6AC65C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00358F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46DBAF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692F6CE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34FF97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0A0DE7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46BE90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0080FE0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2AF170CD">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01D1806">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【法律】</w:t>
            </w:r>
            <w:r>
              <w:rPr>
                <w:rFonts w:eastAsia="仿宋_GB2312" w:cs="仿宋_GB2312"/>
                <w:snapToGrid w:val="0"/>
                <w:sz w:val="20"/>
                <w:szCs w:val="20"/>
              </w:rPr>
              <w:t xml:space="preserve"> </w:t>
            </w:r>
            <w:r>
              <w:rPr>
                <w:rFonts w:hint="eastAsia" w:eastAsia="仿宋_GB2312" w:cs="仿宋_GB2312"/>
                <w:snapToGrid w:val="0"/>
                <w:sz w:val="20"/>
                <w:szCs w:val="20"/>
              </w:rPr>
              <w:t>《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CB3DB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14:paraId="61D0C190">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3-1.</w:t>
            </w:r>
            <w:r>
              <w:rPr>
                <w:rFonts w:hint="eastAsia" w:eastAsia="仿宋_GB2312" w:cs="仿宋_GB2312"/>
                <w:snapToGrid w:val="0"/>
                <w:sz w:val="20"/>
                <w:szCs w:val="20"/>
              </w:rPr>
              <w:t>【法律】《中华人民共和国行政处罚法》（1996年3月17日通过，2021年1月22日修订）第五十七条</w:t>
            </w:r>
            <w:r>
              <w:rPr>
                <w:rFonts w:eastAsia="仿宋_GB2312" w:cs="仿宋_GB2312"/>
                <w:snapToGrid w:val="0"/>
                <w:sz w:val="20"/>
                <w:szCs w:val="20"/>
              </w:rPr>
              <w:t xml:space="preserve">  </w:t>
            </w:r>
            <w:r>
              <w:rPr>
                <w:rFonts w:hint="eastAsia" w:eastAsia="仿宋_GB2312" w:cs="仿宋_GB2312"/>
                <w:snapToGrid w:val="0"/>
                <w:sz w:val="20"/>
                <w:szCs w:val="20"/>
              </w:rPr>
              <w:t>调查终结，行政机关负责人应当对调查结果进行审查，根据不同情况，分别作出如下决定：</w:t>
            </w:r>
          </w:p>
          <w:p w14:paraId="479513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33B6E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C2ABBD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4D4D43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38AD8A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A4C2FBC">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2D5211CA">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4.【法律】</w:t>
            </w:r>
            <w:r>
              <w:rPr>
                <w:rFonts w:hint="eastAsia" w:eastAsia="仿宋_GB2312" w:cs="仿宋_GB2312"/>
                <w:snapToGrid w:val="0"/>
                <w:sz w:val="20"/>
                <w:szCs w:val="20"/>
              </w:rPr>
              <w:t>《中华人民共和国行政处罚法》（1996年3月17日通过，2021年1月22日修订）第四十四条</w:t>
            </w:r>
            <w:r>
              <w:rPr>
                <w:rFonts w:eastAsia="仿宋_GB2312" w:cs="仿宋_GB2312"/>
                <w:snapToGrid w:val="0"/>
                <w:sz w:val="20"/>
                <w:szCs w:val="20"/>
              </w:rPr>
              <w:t xml:space="preserve"> </w:t>
            </w:r>
            <w:r>
              <w:rPr>
                <w:rFonts w:hint="eastAsia" w:eastAsia="仿宋_GB2312" w:cs="仿宋_GB2312"/>
                <w:snapToGrid w:val="0"/>
                <w:sz w:val="20"/>
                <w:szCs w:val="20"/>
              </w:rPr>
              <w:t>行政机关在作出行政处罚决定之前，应当告知当事人拟作出的行政处罚内容及事实、理由、依据，并告知当事人依法享有的陈述、申辩、要求听证等权利。</w:t>
            </w:r>
          </w:p>
          <w:p w14:paraId="603C57F8">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5.【法律】</w:t>
            </w:r>
            <w:r>
              <w:rPr>
                <w:rFonts w:hint="eastAsia" w:eastAsia="仿宋_GB2312" w:cs="仿宋_GB2312"/>
                <w:snapToGrid w:val="0"/>
                <w:sz w:val="20"/>
                <w:szCs w:val="20"/>
              </w:rPr>
              <w:t>《中华人民共和国行政处罚法》（1996年3月17日通过，2021年1月22日修订）第五十九条：行政机关依照本法第五十七条的规定给予行政处罚，应当制作行政处罚决定书。行政处罚决定书应当载明下列事项：………</w:t>
            </w:r>
          </w:p>
          <w:p w14:paraId="23557BD5">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6.【法律】</w:t>
            </w:r>
            <w:r>
              <w:rPr>
                <w:rFonts w:hint="eastAsia" w:eastAsia="仿宋_GB2312" w:cs="仿宋_GB2312"/>
                <w:snapToGrid w:val="0"/>
                <w:sz w:val="20"/>
                <w:szCs w:val="20"/>
              </w:rPr>
              <w:t>《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DD0B2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第六十一条</w:t>
            </w:r>
            <w:r>
              <w:rPr>
                <w:rFonts w:eastAsia="仿宋_GB2312" w:cs="仿宋_GB2312"/>
                <w:snapToGrid w:val="0"/>
                <w:sz w:val="20"/>
                <w:szCs w:val="20"/>
              </w:rPr>
              <w:t xml:space="preserve"> </w:t>
            </w:r>
            <w:r>
              <w:rPr>
                <w:rFonts w:hint="eastAsia" w:eastAsia="仿宋_GB2312" w:cs="仿宋_GB2312"/>
                <w:snapToGrid w:val="0"/>
                <w:sz w:val="20"/>
                <w:szCs w:val="20"/>
              </w:rPr>
              <w:t>行政处罚决定书应当在宣告后当场交付当事人；当事人不在场的，行政机关应当在七日内依照《中华人民共和国民事诉讼法》的有关规定，将行政处罚决定书送达当事人。</w:t>
            </w:r>
          </w:p>
          <w:p w14:paraId="3F4EB0D6">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7.【法律】</w:t>
            </w:r>
            <w:r>
              <w:rPr>
                <w:rFonts w:hint="eastAsia" w:eastAsia="仿宋_GB2312" w:cs="仿宋_GB2312"/>
                <w:snapToGrid w:val="0"/>
                <w:sz w:val="20"/>
                <w:szCs w:val="20"/>
              </w:rPr>
              <w:t>《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14:paraId="131925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14:paraId="7D5BCF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14:paraId="66021A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tc>
      </w:tr>
      <w:tr w14:paraId="3FD2CB1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C009B70">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5</w:t>
            </w:r>
          </w:p>
        </w:tc>
        <w:tc>
          <w:tcPr>
            <w:tcW w:w="585" w:type="dxa"/>
            <w:tcBorders>
              <w:top w:val="single" w:color="auto" w:sz="4" w:space="0"/>
              <w:left w:val="nil"/>
              <w:bottom w:val="single" w:color="auto" w:sz="4" w:space="0"/>
              <w:right w:val="single" w:color="auto" w:sz="4" w:space="0"/>
            </w:tcBorders>
            <w:vAlign w:val="center"/>
          </w:tcPr>
          <w:p w14:paraId="062004E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9438A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对丧失社会保险待遇领取资格后拒不执行社会保险经办机构责令退回决定的处罚</w:t>
            </w:r>
          </w:p>
        </w:tc>
        <w:tc>
          <w:tcPr>
            <w:tcW w:w="1522" w:type="dxa"/>
            <w:tcBorders>
              <w:top w:val="single" w:color="auto" w:sz="4" w:space="0"/>
              <w:left w:val="nil"/>
              <w:bottom w:val="single" w:color="auto" w:sz="4" w:space="0"/>
              <w:right w:val="single" w:color="auto" w:sz="4" w:space="0"/>
            </w:tcBorders>
            <w:vAlign w:val="center"/>
          </w:tcPr>
          <w:p w14:paraId="2F0A3CA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4A4E15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37FB6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社会保险稽核办法》（2003年2月27日劳动保障部令第16号公布）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w:t>
            </w:r>
          </w:p>
        </w:tc>
        <w:tc>
          <w:tcPr>
            <w:tcW w:w="4513" w:type="dxa"/>
            <w:tcBorders>
              <w:top w:val="single" w:color="auto" w:sz="4" w:space="0"/>
              <w:left w:val="nil"/>
              <w:bottom w:val="single" w:color="auto" w:sz="4" w:space="0"/>
              <w:right w:val="single" w:color="auto" w:sz="4" w:space="0"/>
            </w:tcBorders>
            <w:vAlign w:val="center"/>
          </w:tcPr>
          <w:p w14:paraId="7BBB57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14:paraId="4A4607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14:paraId="66921E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14:paraId="5D7879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14:paraId="30BB19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14:paraId="2BD06E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14:paraId="657392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14:paraId="07813B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14:paraId="76B0BF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A242296">
            <w:pPr>
              <w:widowControl/>
              <w:adjustRightInd w:val="0"/>
              <w:snapToGrid w:val="0"/>
              <w:spacing w:line="300" w:lineRule="exact"/>
              <w:jc w:val="center"/>
              <w:rPr>
                <w:rFonts w:hint="eastAsia"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9C4810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54595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3-1.【法律】《中华人民共和国行政处罚法》（1996年3月17日通过，2021年1月22日修订）第五十七条：调查终结，行政机关负责人应当对调查结果进行审查，根据不同情况，分别作出如下决定：</w:t>
            </w:r>
          </w:p>
          <w:p w14:paraId="4FCB01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7285BDA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765BCF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5E0DC6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6FF8E8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7B2B9B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14:paraId="5DC17A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六十三条：行政机关拟作出下列行政处罚决定，应当告知当事人有要求听证的权利，当事人要求听证的，行政机关应当组织听证：</w:t>
            </w:r>
          </w:p>
          <w:p w14:paraId="7AC5B0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（一）较大数额罚款；</w:t>
            </w:r>
          </w:p>
          <w:p w14:paraId="3102EB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（二）没收较大数额违法所得、没收较大价值非法财物；</w:t>
            </w:r>
          </w:p>
          <w:p w14:paraId="3A333B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（三）降低资质等级、吊销许可证件；</w:t>
            </w:r>
          </w:p>
          <w:p w14:paraId="3B70DC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（四）责令停产停业、责令关闭、限制从业；</w:t>
            </w:r>
          </w:p>
          <w:p w14:paraId="4860F0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（五）其他较重的行政处罚；</w:t>
            </w:r>
          </w:p>
          <w:p w14:paraId="379F52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（六）法律、法规、规章规定的其他情形。</w:t>
            </w:r>
          </w:p>
          <w:p w14:paraId="405EC0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w:t>
            </w:r>
          </w:p>
          <w:p w14:paraId="73C608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2DA2DC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7.【法律】《中华人民共和国行政处罚法》（1996年3月17日通过，2021年1月22日修订）第七十二条：当事人逾期不履行行政处罚决定的，作出行政处罚决定的行政机关可以采取下列措施：</w:t>
            </w:r>
          </w:p>
          <w:p w14:paraId="4F93B70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（一）到期不缴纳罚款的，每日按罚款数额的百分之三加处罚款，加处罚款的数额不得超出罚款的数额；</w:t>
            </w:r>
          </w:p>
          <w:p w14:paraId="456B35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14:paraId="1D5405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14:paraId="0FF613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14:paraId="0CDE4F1F">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  行政机关应当建立健全对行政处罚的监督制度。县级以上人民政府应当定期组织开展行政执法评议、考核，加强对行政处罚的监督检查，规范和保障行政处罚的实施。</w:t>
            </w:r>
          </w:p>
        </w:tc>
      </w:tr>
      <w:tr w14:paraId="339B21E9">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21E929D">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46</w:t>
            </w:r>
          </w:p>
        </w:tc>
        <w:tc>
          <w:tcPr>
            <w:tcW w:w="585" w:type="dxa"/>
            <w:tcBorders>
              <w:top w:val="single" w:color="auto" w:sz="4" w:space="0"/>
              <w:left w:val="nil"/>
              <w:bottom w:val="single" w:color="auto" w:sz="4" w:space="0"/>
              <w:right w:val="single" w:color="auto" w:sz="4" w:space="0"/>
            </w:tcBorders>
            <w:vAlign w:val="center"/>
          </w:tcPr>
          <w:p w14:paraId="797B7B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769045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对以实物、有价证券等形式代替货币支付农民工工资的处罚</w:t>
            </w:r>
          </w:p>
        </w:tc>
        <w:tc>
          <w:tcPr>
            <w:tcW w:w="1522" w:type="dxa"/>
            <w:tcBorders>
              <w:top w:val="single" w:color="auto" w:sz="4" w:space="0"/>
              <w:left w:val="nil"/>
              <w:bottom w:val="single" w:color="auto" w:sz="4" w:space="0"/>
              <w:right w:val="single" w:color="auto" w:sz="4" w:space="0"/>
            </w:tcBorders>
            <w:vAlign w:val="center"/>
          </w:tcPr>
          <w:p w14:paraId="697E1403">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C9FE5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7570E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5D53EC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由人力资源社会保障行政部门负责查处，责令限期改正；逾期不改正的，处罚款”。</w:t>
            </w:r>
          </w:p>
        </w:tc>
        <w:tc>
          <w:tcPr>
            <w:tcW w:w="4513" w:type="dxa"/>
            <w:tcBorders>
              <w:top w:val="single" w:color="auto" w:sz="4" w:space="0"/>
              <w:left w:val="nil"/>
              <w:bottom w:val="single" w:color="auto" w:sz="4" w:space="0"/>
              <w:right w:val="single" w:color="auto" w:sz="4" w:space="0"/>
            </w:tcBorders>
            <w:vAlign w:val="center"/>
          </w:tcPr>
          <w:p w14:paraId="30EBBA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40E819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65F60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31986B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24F089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14E917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3F1893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347660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FA6B9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5B8EC7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D7F3D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43FAAE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0C23DF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AEF1D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0A5A18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5A7C485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3F682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2AC01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A32E58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65011E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68D674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4CAAC5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59B2DB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441BA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1FC78B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1C09EC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489BD9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46BFE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3AA1AE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59E304F">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69A5BED">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47</w:t>
            </w:r>
          </w:p>
        </w:tc>
        <w:tc>
          <w:tcPr>
            <w:tcW w:w="585" w:type="dxa"/>
            <w:tcBorders>
              <w:top w:val="single" w:color="auto" w:sz="4" w:space="0"/>
              <w:left w:val="nil"/>
              <w:bottom w:val="single" w:color="auto" w:sz="4" w:space="0"/>
              <w:right w:val="single" w:color="auto" w:sz="4" w:space="0"/>
            </w:tcBorders>
            <w:vAlign w:val="center"/>
          </w:tcPr>
          <w:p w14:paraId="154D35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2214E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对未编制工资支付台账并依法保存，或者未向农民工提供工资清单的处罚</w:t>
            </w:r>
          </w:p>
        </w:tc>
        <w:tc>
          <w:tcPr>
            <w:tcW w:w="1522" w:type="dxa"/>
            <w:tcBorders>
              <w:top w:val="single" w:color="auto" w:sz="4" w:space="0"/>
              <w:left w:val="nil"/>
              <w:bottom w:val="single" w:color="auto" w:sz="4" w:space="0"/>
              <w:right w:val="single" w:color="auto" w:sz="4" w:space="0"/>
            </w:tcBorders>
            <w:vAlign w:val="center"/>
          </w:tcPr>
          <w:p w14:paraId="3B7FF0E7">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A0C69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877E7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403D95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2：“……由人力资源社会保障行政部门负责查处，责令限期改正；逾期不改正的，处罚款”。</w:t>
            </w:r>
          </w:p>
        </w:tc>
        <w:tc>
          <w:tcPr>
            <w:tcW w:w="4513" w:type="dxa"/>
            <w:tcBorders>
              <w:top w:val="single" w:color="auto" w:sz="4" w:space="0"/>
              <w:left w:val="nil"/>
              <w:bottom w:val="single" w:color="auto" w:sz="4" w:space="0"/>
              <w:right w:val="single" w:color="auto" w:sz="4" w:space="0"/>
            </w:tcBorders>
            <w:vAlign w:val="center"/>
          </w:tcPr>
          <w:p w14:paraId="598DC9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3FD16A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0F497C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4138E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7AE568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375DCD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6489273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087BDB5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B5315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74BDAB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633F0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2209B92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B0CBA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0714F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BCD0F9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14070D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43B06B2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580E00D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613EA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3412F71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A888F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6C7DCC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708FC0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3DD154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778744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3B6BA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291186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60A191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65FC7E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6099E70F">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90EF13A">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4</w:t>
            </w:r>
            <w:r>
              <w:rPr>
                <w:rFonts w:hint="eastAsia" w:eastAsia="仿宋_GB2312" w:cs="仿宋_GB2312"/>
                <w:snapToGrid w:val="0"/>
                <w:sz w:val="20"/>
                <w:szCs w:val="20"/>
                <w:lang w:val="en-US" w:eastAsia="zh-CN"/>
              </w:rPr>
              <w:t>8</w:t>
            </w:r>
          </w:p>
        </w:tc>
        <w:tc>
          <w:tcPr>
            <w:tcW w:w="585" w:type="dxa"/>
            <w:tcBorders>
              <w:top w:val="single" w:color="auto" w:sz="4" w:space="0"/>
              <w:left w:val="nil"/>
              <w:bottom w:val="single" w:color="auto" w:sz="4" w:space="0"/>
              <w:right w:val="single" w:color="auto" w:sz="4" w:space="0"/>
            </w:tcBorders>
            <w:vAlign w:val="center"/>
          </w:tcPr>
          <w:p w14:paraId="34C1F0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C1FA6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对扣押或者变相扣押用于支付农民工工资的银行账户所绑定的农民工本人社会保障卡或者银行卡的处罚</w:t>
            </w:r>
          </w:p>
        </w:tc>
        <w:tc>
          <w:tcPr>
            <w:tcW w:w="1522" w:type="dxa"/>
            <w:tcBorders>
              <w:top w:val="single" w:color="auto" w:sz="4" w:space="0"/>
              <w:left w:val="nil"/>
              <w:bottom w:val="single" w:color="auto" w:sz="4" w:space="0"/>
              <w:right w:val="single" w:color="auto" w:sz="4" w:space="0"/>
            </w:tcBorders>
            <w:vAlign w:val="center"/>
          </w:tcPr>
          <w:p w14:paraId="70EF6C9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AB94A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96E64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14:paraId="11A50B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3：“……由人力资源社会保障行政部门负责查处，责令限期改正；逾期不改正的，处罚款”。</w:t>
            </w:r>
          </w:p>
        </w:tc>
        <w:tc>
          <w:tcPr>
            <w:tcW w:w="4513" w:type="dxa"/>
            <w:tcBorders>
              <w:top w:val="single" w:color="auto" w:sz="4" w:space="0"/>
              <w:left w:val="nil"/>
              <w:bottom w:val="single" w:color="auto" w:sz="4" w:space="0"/>
              <w:right w:val="single" w:color="auto" w:sz="4" w:space="0"/>
            </w:tcBorders>
            <w:vAlign w:val="center"/>
          </w:tcPr>
          <w:p w14:paraId="0A0E4C9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2E74EB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5CC1BA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7E082E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565380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4826F8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5CC479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7FA503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1F1E1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2D7917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3CE144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02713C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6EF1BF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C7657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76CD5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B9A1F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26FE4E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355E90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99C420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D18B7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02D1D2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CDF03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0C3A5B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56C9E28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54042A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2049F5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15D603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7AC2498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3EADC6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09FC5C5">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E382176">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49</w:t>
            </w:r>
          </w:p>
        </w:tc>
        <w:tc>
          <w:tcPr>
            <w:tcW w:w="585" w:type="dxa"/>
            <w:tcBorders>
              <w:top w:val="single" w:color="auto" w:sz="4" w:space="0"/>
              <w:left w:val="nil"/>
              <w:bottom w:val="single" w:color="auto" w:sz="4" w:space="0"/>
              <w:right w:val="single" w:color="auto" w:sz="4" w:space="0"/>
            </w:tcBorders>
            <w:vAlign w:val="center"/>
          </w:tcPr>
          <w:p w14:paraId="719383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4819698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对企业拒绝或故意拖延工资集体协商等四种行为的处罚</w:t>
            </w:r>
          </w:p>
        </w:tc>
        <w:tc>
          <w:tcPr>
            <w:tcW w:w="1522" w:type="dxa"/>
            <w:tcBorders>
              <w:top w:val="single" w:color="auto" w:sz="4" w:space="0"/>
              <w:left w:val="nil"/>
              <w:bottom w:val="single" w:color="auto" w:sz="4" w:space="0"/>
              <w:right w:val="single" w:color="auto" w:sz="4" w:space="0"/>
            </w:tcBorders>
            <w:vAlign w:val="center"/>
          </w:tcPr>
          <w:p w14:paraId="615D430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FBF622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A0CAD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地方性法规】《广西壮族自治区企业工资集体协商条例》（2015年5月27日广西第十二届人大常委会第十六次会议通过）第四十九条第一款：企业违反本条例规定,有下列情形之一的,由县级以上人民政府人力资源和社会保障部门给予警告,并责令限期改正；逾期不改的,将其记入社会诚信档案,通过媒体向社会公布：（一）拒绝或者故意拖延工资集体协商的；（二）拒绝提供或者不如实提供与工资集体协商有关的情况和资料的；（三）不向协商代表提供开展工资集体协商所必需的工作条件和工作时间的；（四）有其他阻碍开展工资集体协商行为的。</w:t>
            </w:r>
          </w:p>
        </w:tc>
        <w:tc>
          <w:tcPr>
            <w:tcW w:w="4513" w:type="dxa"/>
            <w:tcBorders>
              <w:top w:val="single" w:color="auto" w:sz="4" w:space="0"/>
              <w:left w:val="nil"/>
              <w:bottom w:val="single" w:color="auto" w:sz="4" w:space="0"/>
              <w:right w:val="single" w:color="auto" w:sz="4" w:space="0"/>
            </w:tcBorders>
            <w:vAlign w:val="center"/>
          </w:tcPr>
          <w:p w14:paraId="37A340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2C33D3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15518C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29E4EA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699FEE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28A5E5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08811A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9C2B1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99CDF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30FDFD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94EE9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55CE14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529BA2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A2E2E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1DA506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A698F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723DB6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2039C6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78BF21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556951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46810D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361DD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03DC62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064D51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2AAFAD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361C8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11431A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2F1BD7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7B9196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59F1931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EBBD5B9">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5</w:t>
            </w:r>
            <w:r>
              <w:rPr>
                <w:rFonts w:hint="eastAsia" w:eastAsia="仿宋_GB2312" w:cs="仿宋_GB2312"/>
                <w:snapToGrid w:val="0"/>
                <w:sz w:val="20"/>
                <w:szCs w:val="20"/>
                <w:lang w:val="en-US" w:eastAsia="zh-CN"/>
              </w:rPr>
              <w:t>0</w:t>
            </w:r>
          </w:p>
        </w:tc>
        <w:tc>
          <w:tcPr>
            <w:tcW w:w="585" w:type="dxa"/>
            <w:tcBorders>
              <w:top w:val="single" w:color="auto" w:sz="4" w:space="0"/>
              <w:left w:val="nil"/>
              <w:bottom w:val="single" w:color="auto" w:sz="4" w:space="0"/>
              <w:right w:val="single" w:color="auto" w:sz="4" w:space="0"/>
            </w:tcBorders>
            <w:vAlign w:val="center"/>
          </w:tcPr>
          <w:p w14:paraId="6DB508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FB143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对企业拒绝或故意拖延工资集体协商、拒绝提供或者不如实提供与工资集体协商有关的情况和资料行为责令限期改正逾期不改的处罚</w:t>
            </w:r>
          </w:p>
        </w:tc>
        <w:tc>
          <w:tcPr>
            <w:tcW w:w="1522" w:type="dxa"/>
            <w:tcBorders>
              <w:top w:val="single" w:color="auto" w:sz="4" w:space="0"/>
              <w:left w:val="nil"/>
              <w:bottom w:val="single" w:color="auto" w:sz="4" w:space="0"/>
              <w:right w:val="single" w:color="auto" w:sz="4" w:space="0"/>
            </w:tcBorders>
            <w:vAlign w:val="center"/>
          </w:tcPr>
          <w:p w14:paraId="586AF7BF">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E019C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2A173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地方性法规】《广西壮族自治区企业工资集体协商条例》（2015年5月27日广西第十二届人大常委会第十六次会议通过）第四十九条：企业违反本条例规定，有下列情形之一的，由县级以上人民政府人力资源和社会保障部门给予警告，并责令限期改正；逾期不改的，将其记入社会诚信档案，通过媒体向社会公布：</w:t>
            </w:r>
          </w:p>
          <w:p w14:paraId="1BBF3B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（一）拒绝或者故意拖延工资集体协商的；</w:t>
            </w:r>
          </w:p>
          <w:p w14:paraId="620F06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（二）拒绝提供或者不如实提供与工资集体协商有关的情况和资料的；</w:t>
            </w:r>
          </w:p>
          <w:p w14:paraId="69943A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（三）不向协商代表提供开展工资集体协商所必需的工作条件和工作时间的；</w:t>
            </w:r>
          </w:p>
          <w:p w14:paraId="7C3F87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（四）有其他阻碍开展工资集体协商行为的。</w:t>
            </w:r>
          </w:p>
          <w:p w14:paraId="3ED1F7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企业有前款第一项、第二项行为，经责令限期改正，逾期不改的，县级以上人民政府人力资源和社会保障部门可以对企业处以五千元以上五万元以下罚款；企业三年内不得享受各级政府的奖励和扶持政策；政府以及有关部门三年内不受理其在经营方面的评优评先申请，不授予其文明单位等荣誉称号；企业经营者三年内不得参加劳动模范、优秀企业家等评优评先。</w:t>
            </w:r>
          </w:p>
        </w:tc>
        <w:tc>
          <w:tcPr>
            <w:tcW w:w="4513" w:type="dxa"/>
            <w:tcBorders>
              <w:top w:val="single" w:color="auto" w:sz="4" w:space="0"/>
              <w:left w:val="nil"/>
              <w:bottom w:val="single" w:color="auto" w:sz="4" w:space="0"/>
              <w:right w:val="single" w:color="auto" w:sz="4" w:space="0"/>
            </w:tcBorders>
            <w:vAlign w:val="center"/>
          </w:tcPr>
          <w:p w14:paraId="2ADF11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14:paraId="050C8B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14:paraId="65AA04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14:paraId="3EB924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14:paraId="6BE4C1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14:paraId="187029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14:paraId="6CC5D4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14:paraId="1608B9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9CC49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14:paraId="457DC1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5E533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14:paraId="785E9A5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1149A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0EB6F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0CE24E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021970B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34F95A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4A9859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43AD80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2211F5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14:paraId="379E52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14:paraId="7EDF16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（一）当事人的姓名或者名称、地址；</w:t>
            </w:r>
          </w:p>
          <w:p w14:paraId="304219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14:paraId="2EC719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（三）行政处罚的种类和依据；</w:t>
            </w:r>
          </w:p>
          <w:p w14:paraId="2F5978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（四）行政处罚的履行方式和期限；</w:t>
            </w:r>
          </w:p>
          <w:p w14:paraId="56496B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14:paraId="06D406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14:paraId="3C292E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14:paraId="46F920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r>
      <w:tr w14:paraId="1DD1CAAE">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BF088BC">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5</w:t>
            </w:r>
            <w:r>
              <w:rPr>
                <w:rFonts w:hint="eastAsia" w:eastAsia="仿宋_GB2312" w:cs="仿宋_GB2312"/>
                <w:snapToGrid w:val="0"/>
                <w:sz w:val="20"/>
                <w:szCs w:val="20"/>
                <w:lang w:val="en-US" w:eastAsia="zh-CN"/>
              </w:rPr>
              <w:t>1</w:t>
            </w:r>
          </w:p>
        </w:tc>
        <w:tc>
          <w:tcPr>
            <w:tcW w:w="585" w:type="dxa"/>
            <w:tcBorders>
              <w:top w:val="single" w:color="auto" w:sz="4" w:space="0"/>
              <w:left w:val="nil"/>
              <w:bottom w:val="single" w:color="auto" w:sz="4" w:space="0"/>
              <w:right w:val="single" w:color="auto" w:sz="4" w:space="0"/>
            </w:tcBorders>
            <w:vAlign w:val="center"/>
          </w:tcPr>
          <w:p w14:paraId="3254F3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B6793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对企业未按照国家规定提取职工教育经费，或者挪用职工教育经费行为的处罚</w:t>
            </w:r>
          </w:p>
        </w:tc>
        <w:tc>
          <w:tcPr>
            <w:tcW w:w="1522" w:type="dxa"/>
            <w:tcBorders>
              <w:top w:val="single" w:color="auto" w:sz="4" w:space="0"/>
              <w:left w:val="nil"/>
              <w:bottom w:val="single" w:color="auto" w:sz="4" w:space="0"/>
              <w:right w:val="single" w:color="auto" w:sz="4" w:space="0"/>
            </w:tcBorders>
            <w:vAlign w:val="center"/>
          </w:tcPr>
          <w:p w14:paraId="12998E3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6D638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46678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七条：违反本法规定，企业未按照国家规定提取职工教育经费，或者挪用职工教育经费的，由劳动行政部门责令改正，并依法给予处罚。</w:t>
            </w:r>
          </w:p>
        </w:tc>
        <w:tc>
          <w:tcPr>
            <w:tcW w:w="4513" w:type="dxa"/>
            <w:tcBorders>
              <w:top w:val="single" w:color="auto" w:sz="4" w:space="0"/>
              <w:left w:val="nil"/>
              <w:bottom w:val="single" w:color="auto" w:sz="4" w:space="0"/>
              <w:right w:val="single" w:color="auto" w:sz="4" w:space="0"/>
            </w:tcBorders>
            <w:vAlign w:val="center"/>
          </w:tcPr>
          <w:p w14:paraId="4251F26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248EC1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01E83D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38A26F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6CB5BF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5FBC7A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539382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601DF0B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52658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6D693B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0E1C85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3E85D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376913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507CF22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35E7A7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237016DC">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E054C45">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52</w:t>
            </w:r>
          </w:p>
        </w:tc>
        <w:tc>
          <w:tcPr>
            <w:tcW w:w="585" w:type="dxa"/>
            <w:tcBorders>
              <w:top w:val="single" w:color="auto" w:sz="4" w:space="0"/>
              <w:left w:val="nil"/>
              <w:bottom w:val="single" w:color="auto" w:sz="4" w:space="0"/>
              <w:right w:val="single" w:color="auto" w:sz="4" w:space="0"/>
            </w:tcBorders>
            <w:vAlign w:val="center"/>
          </w:tcPr>
          <w:p w14:paraId="3C0DAD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F4363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对经营性人力资源服务机构开展人力资源服务业务未备案的处罚</w:t>
            </w:r>
          </w:p>
        </w:tc>
        <w:tc>
          <w:tcPr>
            <w:tcW w:w="1522" w:type="dxa"/>
            <w:tcBorders>
              <w:top w:val="single" w:color="auto" w:sz="4" w:space="0"/>
              <w:left w:val="nil"/>
              <w:bottom w:val="single" w:color="auto" w:sz="4" w:space="0"/>
              <w:right w:val="single" w:color="auto" w:sz="4" w:space="0"/>
            </w:tcBorders>
            <w:vAlign w:val="center"/>
          </w:tcPr>
          <w:p w14:paraId="09FC8BC3">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79750E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52A7C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14:paraId="54B41D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4513" w:type="dxa"/>
            <w:tcBorders>
              <w:top w:val="single" w:color="auto" w:sz="4" w:space="0"/>
              <w:left w:val="nil"/>
              <w:bottom w:val="single" w:color="auto" w:sz="4" w:space="0"/>
              <w:right w:val="single" w:color="auto" w:sz="4" w:space="0"/>
            </w:tcBorders>
            <w:vAlign w:val="center"/>
          </w:tcPr>
          <w:p w14:paraId="5DEE17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7F21CE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324741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22B437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07F698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318952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1CB932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1D4D53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FEB7B7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1707A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572BAC1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EB9DB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2ADEEA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245B5E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048E74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6D002F1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FDE0D96">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5</w:t>
            </w:r>
            <w:r>
              <w:rPr>
                <w:rFonts w:hint="eastAsia" w:eastAsia="仿宋_GB2312" w:cs="仿宋_GB2312"/>
                <w:snapToGrid w:val="0"/>
                <w:sz w:val="20"/>
                <w:szCs w:val="20"/>
                <w:lang w:val="en-US" w:eastAsia="zh-CN"/>
              </w:rPr>
              <w:t>3</w:t>
            </w:r>
          </w:p>
        </w:tc>
        <w:tc>
          <w:tcPr>
            <w:tcW w:w="585" w:type="dxa"/>
            <w:tcBorders>
              <w:top w:val="single" w:color="auto" w:sz="4" w:space="0"/>
              <w:left w:val="nil"/>
              <w:bottom w:val="single" w:color="auto" w:sz="4" w:space="0"/>
              <w:right w:val="single" w:color="auto" w:sz="4" w:space="0"/>
            </w:tcBorders>
            <w:vAlign w:val="center"/>
          </w:tcPr>
          <w:p w14:paraId="696AFC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090CE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对经营性人力资源服务机构设立分支机构、办理变更或者注销登记未书面报告的处罚</w:t>
            </w:r>
          </w:p>
        </w:tc>
        <w:tc>
          <w:tcPr>
            <w:tcW w:w="1522" w:type="dxa"/>
            <w:tcBorders>
              <w:top w:val="single" w:color="auto" w:sz="4" w:space="0"/>
              <w:left w:val="nil"/>
              <w:bottom w:val="single" w:color="auto" w:sz="4" w:space="0"/>
              <w:right w:val="single" w:color="auto" w:sz="4" w:space="0"/>
            </w:tcBorders>
            <w:vAlign w:val="center"/>
          </w:tcPr>
          <w:p w14:paraId="10A1CAB4">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115D4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6D17A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p w14:paraId="0253BF2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第二十条：经营性人力资源服务机构设立分支机构的，应当自工商登记办理完毕之日起15日内，书面报告分支机构所在地人力资源社会保障行政部门。</w:t>
            </w:r>
          </w:p>
          <w:p w14:paraId="66D39F7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第二十一条：经营性人力资源服务机构变更名称、住所、法定代表人或者终止经营活动的，应当自工商变更登记或者注销登记办理完毕之日起15日内，书面报告人力资源社会保障行政部门。</w:t>
            </w:r>
          </w:p>
        </w:tc>
        <w:tc>
          <w:tcPr>
            <w:tcW w:w="4513" w:type="dxa"/>
            <w:tcBorders>
              <w:top w:val="single" w:color="auto" w:sz="4" w:space="0"/>
              <w:left w:val="nil"/>
              <w:bottom w:val="single" w:color="auto" w:sz="4" w:space="0"/>
              <w:right w:val="single" w:color="auto" w:sz="4" w:space="0"/>
            </w:tcBorders>
            <w:vAlign w:val="center"/>
          </w:tcPr>
          <w:p w14:paraId="0BD68B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52B333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3CF521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3D3FA6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36DA2F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02C17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250809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05180E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2220D6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ADC5A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3A678D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BD09B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7477E3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5064C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062189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2C7CF147">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7E8F9A4">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54</w:t>
            </w:r>
          </w:p>
        </w:tc>
        <w:tc>
          <w:tcPr>
            <w:tcW w:w="585" w:type="dxa"/>
            <w:tcBorders>
              <w:top w:val="single" w:color="auto" w:sz="4" w:space="0"/>
              <w:left w:val="nil"/>
              <w:bottom w:val="single" w:color="auto" w:sz="4" w:space="0"/>
              <w:right w:val="single" w:color="auto" w:sz="4" w:space="0"/>
            </w:tcBorders>
            <w:vAlign w:val="center"/>
          </w:tcPr>
          <w:p w14:paraId="6F1F28C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91824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对擅自举办民办职业培训学校的处罚</w:t>
            </w:r>
          </w:p>
        </w:tc>
        <w:tc>
          <w:tcPr>
            <w:tcW w:w="1522" w:type="dxa"/>
            <w:tcBorders>
              <w:top w:val="single" w:color="auto" w:sz="4" w:space="0"/>
              <w:left w:val="nil"/>
              <w:bottom w:val="single" w:color="auto" w:sz="4" w:space="0"/>
              <w:right w:val="single" w:color="auto" w:sz="4" w:space="0"/>
            </w:tcBorders>
            <w:vAlign w:val="center"/>
          </w:tcPr>
          <w:p w14:paraId="117AC92F">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88D59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58F34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民办教育促进法》（2002年12月28日通过，2018年12月29日主席令第24号第三次修正）第六十四条：违反国家有关规定擅自举办民办学校的，由所在地县级以上地方人民政府教育行政部门或者人力资源社会保障行政部门会同公安、民政或者市场监督管理等有关部门责令停止办学、退还所收费用，并对举办者处违法所得一倍以上五倍以下罚款；构成违反社会治安管理行为的，由公安机关依法给予治安管理处罚；构成犯罪的，依法追究刑事责任。</w:t>
            </w:r>
          </w:p>
        </w:tc>
        <w:tc>
          <w:tcPr>
            <w:tcW w:w="4513" w:type="dxa"/>
            <w:tcBorders>
              <w:top w:val="single" w:color="auto" w:sz="4" w:space="0"/>
              <w:left w:val="nil"/>
              <w:bottom w:val="single" w:color="auto" w:sz="4" w:space="0"/>
              <w:right w:val="single" w:color="auto" w:sz="4" w:space="0"/>
            </w:tcBorders>
            <w:vAlign w:val="center"/>
          </w:tcPr>
          <w:p w14:paraId="5184D16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253E62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091543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58FA6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69D2FB0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3352363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5FC5E3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19B5A3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07B2F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23DDC1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192D66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3FD0B6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4CAE5D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5C68E3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66231A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1C30EE9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FE3C91E">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5</w:t>
            </w:r>
            <w:r>
              <w:rPr>
                <w:rFonts w:hint="eastAsia" w:eastAsia="仿宋_GB2312" w:cs="仿宋_GB2312"/>
                <w:snapToGrid w:val="0"/>
                <w:sz w:val="20"/>
                <w:szCs w:val="20"/>
                <w:lang w:val="en-US" w:eastAsia="zh-CN"/>
              </w:rPr>
              <w:t>5</w:t>
            </w:r>
          </w:p>
        </w:tc>
        <w:tc>
          <w:tcPr>
            <w:tcW w:w="585" w:type="dxa"/>
            <w:tcBorders>
              <w:top w:val="single" w:color="auto" w:sz="4" w:space="0"/>
              <w:left w:val="nil"/>
              <w:bottom w:val="single" w:color="auto" w:sz="4" w:space="0"/>
              <w:right w:val="single" w:color="auto" w:sz="4" w:space="0"/>
            </w:tcBorders>
            <w:vAlign w:val="center"/>
          </w:tcPr>
          <w:p w14:paraId="5B29A5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35739F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对民办职业培训学校违反规定，擅自改变学校组织形式、管理混乱、虚开证明、恶意终止办学、挪用办学经费等行为的处罚</w:t>
            </w:r>
          </w:p>
        </w:tc>
        <w:tc>
          <w:tcPr>
            <w:tcW w:w="1522" w:type="dxa"/>
            <w:tcBorders>
              <w:top w:val="single" w:color="auto" w:sz="4" w:space="0"/>
              <w:left w:val="nil"/>
              <w:bottom w:val="single" w:color="auto" w:sz="4" w:space="0"/>
              <w:right w:val="single" w:color="auto" w:sz="4" w:space="0"/>
            </w:tcBorders>
            <w:vAlign w:val="center"/>
          </w:tcPr>
          <w:p w14:paraId="0A91F78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99F18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A3DC8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民办教育促进法》（2002年12月28日通过，2018年12月29日主席令第24号第三次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14:paraId="447AEA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民办教育促进法实施条例》（2004年3月5日国务院令第399号，2021年4月7日国务院令第741号修订）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4513" w:type="dxa"/>
            <w:tcBorders>
              <w:top w:val="single" w:color="auto" w:sz="4" w:space="0"/>
              <w:left w:val="nil"/>
              <w:bottom w:val="single" w:color="auto" w:sz="4" w:space="0"/>
              <w:right w:val="single" w:color="auto" w:sz="4" w:space="0"/>
            </w:tcBorders>
            <w:vAlign w:val="center"/>
          </w:tcPr>
          <w:p w14:paraId="77EDBA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460215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09E5B4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259F0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6AEAAE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99E1B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w:t>
            </w:r>
          </w:p>
          <w:p w14:paraId="52DC4A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定逾期不履行的，劳动保障行政部门可申请人民法院强制执行。</w:t>
            </w:r>
          </w:p>
          <w:p w14:paraId="5C47878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18D842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0C64D8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D47C2B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739DFC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0E6FAB7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32AC72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340E0B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3A171C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6CF513CA">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61BE93D">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56</w:t>
            </w:r>
          </w:p>
        </w:tc>
        <w:tc>
          <w:tcPr>
            <w:tcW w:w="585" w:type="dxa"/>
            <w:tcBorders>
              <w:top w:val="single" w:color="auto" w:sz="4" w:space="0"/>
              <w:left w:val="nil"/>
              <w:bottom w:val="single" w:color="auto" w:sz="4" w:space="0"/>
              <w:right w:val="single" w:color="auto" w:sz="4" w:space="0"/>
            </w:tcBorders>
            <w:vAlign w:val="center"/>
          </w:tcPr>
          <w:p w14:paraId="3173C7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63A4DB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对专业技术人员继续教育机构违反规定，未认真实施继续教育教学计划、公开继续教育的范围、内容、收费项目及标准等行为的处罚</w:t>
            </w:r>
          </w:p>
        </w:tc>
        <w:tc>
          <w:tcPr>
            <w:tcW w:w="1522" w:type="dxa"/>
            <w:tcBorders>
              <w:top w:val="single" w:color="auto" w:sz="4" w:space="0"/>
              <w:left w:val="nil"/>
              <w:bottom w:val="single" w:color="auto" w:sz="4" w:space="0"/>
              <w:right w:val="single" w:color="auto" w:sz="4" w:space="0"/>
            </w:tcBorders>
            <w:vAlign w:val="center"/>
          </w:tcPr>
          <w:p w14:paraId="5C1C99F9">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EBF38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50D15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专业技术人员继续教育规定》（2015年8月13日人力资源社会保障部令第25号公布）第二十九条：继续教育机构违反本规定第十九条第一款规定的，由人力资源社会保障行政部门或者有关行业主管部门责令改正，给予警告。</w:t>
            </w:r>
          </w:p>
          <w:p w14:paraId="43DB789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第十九条第一款：继续教育机构应当认真实施继续教育教学计划，向社会公开继续教育的范围、内容、收费项目及标准等情况，建立教学档案，根据考试考核结果如实出具专业技术人员参加继续教育的证明。</w:t>
            </w:r>
          </w:p>
        </w:tc>
        <w:tc>
          <w:tcPr>
            <w:tcW w:w="4513" w:type="dxa"/>
            <w:tcBorders>
              <w:top w:val="single" w:color="auto" w:sz="4" w:space="0"/>
              <w:left w:val="nil"/>
              <w:bottom w:val="single" w:color="auto" w:sz="4" w:space="0"/>
              <w:right w:val="single" w:color="auto" w:sz="4" w:space="0"/>
            </w:tcBorders>
            <w:vAlign w:val="center"/>
          </w:tcPr>
          <w:p w14:paraId="69362A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248BD2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1488545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DD7DE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4EA037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0CA879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50802C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43A25E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0863DE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404258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292A4F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6FE27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665E7C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2ADB804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350F59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188AE92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1C408CB">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57</w:t>
            </w:r>
          </w:p>
        </w:tc>
        <w:tc>
          <w:tcPr>
            <w:tcW w:w="585" w:type="dxa"/>
            <w:tcBorders>
              <w:top w:val="single" w:color="auto" w:sz="4" w:space="0"/>
              <w:left w:val="nil"/>
              <w:bottom w:val="single" w:color="auto" w:sz="4" w:space="0"/>
              <w:right w:val="single" w:color="auto" w:sz="4" w:space="0"/>
            </w:tcBorders>
            <w:vAlign w:val="center"/>
          </w:tcPr>
          <w:p w14:paraId="1AEF80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52F09A9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对组织和个人非法提供、复制、公布、出售或者变相交易社会保险个人权益记录的处罚</w:t>
            </w:r>
          </w:p>
        </w:tc>
        <w:tc>
          <w:tcPr>
            <w:tcW w:w="1522" w:type="dxa"/>
            <w:tcBorders>
              <w:top w:val="single" w:color="auto" w:sz="4" w:space="0"/>
              <w:left w:val="nil"/>
              <w:bottom w:val="single" w:color="auto" w:sz="4" w:space="0"/>
              <w:right w:val="single" w:color="auto" w:sz="4" w:space="0"/>
            </w:tcBorders>
            <w:vAlign w:val="center"/>
          </w:tcPr>
          <w:p w14:paraId="6F1BB86B">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D6F7C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49BD7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社会保险个人权益记录管理办法》（2011年6月29日人力资源社会保障部令第14号公布）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4513" w:type="dxa"/>
            <w:tcBorders>
              <w:top w:val="single" w:color="auto" w:sz="4" w:space="0"/>
              <w:left w:val="nil"/>
              <w:bottom w:val="single" w:color="auto" w:sz="4" w:space="0"/>
              <w:right w:val="single" w:color="auto" w:sz="4" w:space="0"/>
            </w:tcBorders>
            <w:vAlign w:val="center"/>
          </w:tcPr>
          <w:p w14:paraId="752F992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523D2C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0FA1BD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5271EA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04D4C7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4707152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23810D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7EFB02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85A77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ABDAE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51B2ED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18923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347296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7DCD34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18691A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1E62500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63AC78F">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5</w:t>
            </w:r>
            <w:r>
              <w:rPr>
                <w:rFonts w:hint="eastAsia" w:eastAsia="仿宋_GB2312" w:cs="仿宋_GB2312"/>
                <w:snapToGrid w:val="0"/>
                <w:sz w:val="20"/>
                <w:szCs w:val="20"/>
                <w:lang w:val="en-US" w:eastAsia="zh-CN"/>
              </w:rPr>
              <w:t>8</w:t>
            </w:r>
          </w:p>
        </w:tc>
        <w:tc>
          <w:tcPr>
            <w:tcW w:w="585" w:type="dxa"/>
            <w:tcBorders>
              <w:top w:val="single" w:color="auto" w:sz="4" w:space="0"/>
              <w:left w:val="nil"/>
              <w:bottom w:val="single" w:color="auto" w:sz="4" w:space="0"/>
              <w:right w:val="single" w:color="auto" w:sz="4" w:space="0"/>
            </w:tcBorders>
            <w:vAlign w:val="center"/>
          </w:tcPr>
          <w:p w14:paraId="3031D8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71F1B7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对用人单位以民族、性别、宗教信仰为由拒绝聘用或者提高聘用标准的，招聘不得招聘人员的，以及向应聘者收取费用或采取欺诈等手段谋取非法利益的处罚</w:t>
            </w:r>
          </w:p>
        </w:tc>
        <w:tc>
          <w:tcPr>
            <w:tcW w:w="1522" w:type="dxa"/>
            <w:tcBorders>
              <w:top w:val="single" w:color="auto" w:sz="4" w:space="0"/>
              <w:left w:val="nil"/>
              <w:bottom w:val="single" w:color="auto" w:sz="4" w:space="0"/>
              <w:right w:val="single" w:color="auto" w:sz="4" w:space="0"/>
            </w:tcBorders>
            <w:vAlign w:val="center"/>
          </w:tcPr>
          <w:p w14:paraId="79189210">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E7F24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1F96A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人才市场管理规定》（2001年9月11日人事部、国家工商行政管理总局令第1号公布，2019年12月31日第四次修订）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4513" w:type="dxa"/>
            <w:tcBorders>
              <w:top w:val="single" w:color="auto" w:sz="4" w:space="0"/>
              <w:left w:val="nil"/>
              <w:bottom w:val="single" w:color="auto" w:sz="4" w:space="0"/>
              <w:right w:val="single" w:color="auto" w:sz="4" w:space="0"/>
            </w:tcBorders>
            <w:vAlign w:val="center"/>
          </w:tcPr>
          <w:p w14:paraId="3872EC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7B83F1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2C0DD9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4A3A3F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10BC96B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1346D4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68A473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27D856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5C0A6F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4CD5B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15D706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4A72A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5ECEF0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7B77093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133F6A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46851F5A">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5765FDC">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59</w:t>
            </w:r>
          </w:p>
        </w:tc>
        <w:tc>
          <w:tcPr>
            <w:tcW w:w="585" w:type="dxa"/>
            <w:tcBorders>
              <w:top w:val="single" w:color="auto" w:sz="4" w:space="0"/>
              <w:left w:val="nil"/>
              <w:bottom w:val="single" w:color="auto" w:sz="4" w:space="0"/>
              <w:right w:val="single" w:color="auto" w:sz="4" w:space="0"/>
            </w:tcBorders>
            <w:vAlign w:val="center"/>
          </w:tcPr>
          <w:p w14:paraId="5C3977D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1036346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对通过不实承诺取得人力资源服务许可的处罚</w:t>
            </w:r>
          </w:p>
        </w:tc>
        <w:tc>
          <w:tcPr>
            <w:tcW w:w="1522" w:type="dxa"/>
            <w:tcBorders>
              <w:top w:val="single" w:color="auto" w:sz="4" w:space="0"/>
              <w:left w:val="nil"/>
              <w:bottom w:val="single" w:color="auto" w:sz="4" w:space="0"/>
              <w:right w:val="single" w:color="auto" w:sz="4" w:space="0"/>
            </w:tcBorders>
            <w:vAlign w:val="center"/>
          </w:tcPr>
          <w:p w14:paraId="7A71A86E">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6D546B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6C36C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地方性法规】《广西壮族自治区人力资源市场条例》（2022年3月24日广西第十三届人大常委会第二十八次会议通过）第五十一条：违反本条例第二十六条第二款规定，通过不实承诺取得人力资源服务许可的，由登记地的设区的市或者县级人民政府人力资源社会保障行政部门依法撤销其人力资源服务许可证，予以关闭或者责令停止从事职业中介活动；有违法所得的，除依法应当退赔的外，没收违法所得，并处一万元以上五万元以下的罚款；</w:t>
            </w:r>
          </w:p>
          <w:p w14:paraId="15FF4B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六条第二款：申请人通过告知承诺制方式申请办理人力资源服务许可的，应当如实签署告知承诺书，并对承诺的真实性、合法性负责；申请人书面承诺符合告知承诺制要求并按照规定提交材料的，人力资源社会保障行政部门应当当场作出行政许可决定。</w:t>
            </w:r>
          </w:p>
        </w:tc>
        <w:tc>
          <w:tcPr>
            <w:tcW w:w="4513" w:type="dxa"/>
            <w:tcBorders>
              <w:top w:val="single" w:color="auto" w:sz="4" w:space="0"/>
              <w:left w:val="nil"/>
              <w:bottom w:val="single" w:color="auto" w:sz="4" w:space="0"/>
              <w:right w:val="single" w:color="auto" w:sz="4" w:space="0"/>
            </w:tcBorders>
            <w:vAlign w:val="center"/>
          </w:tcPr>
          <w:p w14:paraId="695C864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202A3D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1BD6E16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60BDF5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5C0D89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31D20C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5A1D6F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016DEA6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012A3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46D1CD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1389D6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48F2DC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62BE14E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B9161E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19103E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6872F78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BE34424">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60</w:t>
            </w:r>
          </w:p>
        </w:tc>
        <w:tc>
          <w:tcPr>
            <w:tcW w:w="585" w:type="dxa"/>
            <w:tcBorders>
              <w:top w:val="single" w:color="auto" w:sz="4" w:space="0"/>
              <w:left w:val="nil"/>
              <w:bottom w:val="single" w:color="auto" w:sz="4" w:space="0"/>
              <w:right w:val="single" w:color="auto" w:sz="4" w:space="0"/>
            </w:tcBorders>
            <w:vAlign w:val="center"/>
          </w:tcPr>
          <w:p w14:paraId="138732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496A27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对出借、出租人力资源服务许可证的处罚</w:t>
            </w:r>
          </w:p>
        </w:tc>
        <w:tc>
          <w:tcPr>
            <w:tcW w:w="1522" w:type="dxa"/>
            <w:tcBorders>
              <w:top w:val="single" w:color="auto" w:sz="4" w:space="0"/>
              <w:left w:val="nil"/>
              <w:bottom w:val="single" w:color="auto" w:sz="4" w:space="0"/>
              <w:right w:val="single" w:color="auto" w:sz="4" w:space="0"/>
            </w:tcBorders>
            <w:vAlign w:val="center"/>
          </w:tcPr>
          <w:p w14:paraId="27F7642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6E29F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81DB7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地方性法规】《广西壮族自治区人力资源市场条例》（2022年3月24日广西第十三届人大常委会第二十八次会议通过）第五十二条：违反本条例第三十五条第三项规定，出借、出租人力资源服务许可证的，由登记地的设区的市或者县级人民政府人力资源社会保障行政部门责令改正；有违法所得的，除依法应当退赔的外，没收违法所得，并处一万元以上五万元以下的罚款；情节严重的，吊销人力资源服务许可证；</w:t>
            </w:r>
          </w:p>
          <w:p w14:paraId="6C48B61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第三十五条第三项：人力资源服务机构不得有下列行为：……（三）伪造、涂改、出借、出租、转让人力资源服务许可证……。</w:t>
            </w:r>
          </w:p>
        </w:tc>
        <w:tc>
          <w:tcPr>
            <w:tcW w:w="4513" w:type="dxa"/>
            <w:tcBorders>
              <w:top w:val="single" w:color="auto" w:sz="4" w:space="0"/>
              <w:left w:val="nil"/>
              <w:bottom w:val="single" w:color="auto" w:sz="4" w:space="0"/>
              <w:right w:val="single" w:color="auto" w:sz="4" w:space="0"/>
            </w:tcBorders>
            <w:vAlign w:val="center"/>
          </w:tcPr>
          <w:p w14:paraId="2DBAC3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3D49526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7C0631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0FB07A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147A73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172AD5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714BFE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7EA7AB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71C29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06C27F8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3F77017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3E0231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30C1EF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2BFD8C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2FF375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5F2F3B8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952D51F">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1</w:t>
            </w:r>
          </w:p>
        </w:tc>
        <w:tc>
          <w:tcPr>
            <w:tcW w:w="585" w:type="dxa"/>
            <w:tcBorders>
              <w:top w:val="single" w:color="auto" w:sz="4" w:space="0"/>
              <w:left w:val="nil"/>
              <w:bottom w:val="single" w:color="auto" w:sz="4" w:space="0"/>
              <w:right w:val="single" w:color="auto" w:sz="4" w:space="0"/>
            </w:tcBorders>
            <w:vAlign w:val="center"/>
          </w:tcPr>
          <w:p w14:paraId="38450E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C5385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对娱乐场所招用未成年人的处罚</w:t>
            </w:r>
          </w:p>
        </w:tc>
        <w:tc>
          <w:tcPr>
            <w:tcW w:w="1522" w:type="dxa"/>
            <w:tcBorders>
              <w:top w:val="single" w:color="auto" w:sz="4" w:space="0"/>
              <w:left w:val="nil"/>
              <w:bottom w:val="single" w:color="auto" w:sz="4" w:space="0"/>
              <w:right w:val="single" w:color="auto" w:sz="4" w:space="0"/>
            </w:tcBorders>
            <w:vAlign w:val="center"/>
          </w:tcPr>
          <w:p w14:paraId="6ACD9C80">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9BCA12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53F50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【行政法规】《娱乐场所管理条例》（2016年1月13日国务院令第458号）第五十二条：娱乐场所招用未成年人的，由劳动保障行政部门责令改正，并按照每招用一名未成年人每月处5000元罚款的标准给予处罚。</w:t>
            </w:r>
          </w:p>
        </w:tc>
        <w:tc>
          <w:tcPr>
            <w:tcW w:w="4513" w:type="dxa"/>
            <w:tcBorders>
              <w:top w:val="single" w:color="auto" w:sz="4" w:space="0"/>
              <w:left w:val="nil"/>
              <w:bottom w:val="single" w:color="auto" w:sz="4" w:space="0"/>
              <w:right w:val="single" w:color="auto" w:sz="4" w:space="0"/>
            </w:tcBorders>
            <w:vAlign w:val="center"/>
          </w:tcPr>
          <w:p w14:paraId="04767D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52AAB4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3BC1F0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A95948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3DA97F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473686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7A63F5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040B66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11F80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668D48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60AE91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3681E8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16B387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292807A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415D7E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015FCE8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195E109">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2</w:t>
            </w:r>
          </w:p>
        </w:tc>
        <w:tc>
          <w:tcPr>
            <w:tcW w:w="585" w:type="dxa"/>
            <w:tcBorders>
              <w:top w:val="single" w:color="auto" w:sz="4" w:space="0"/>
              <w:left w:val="nil"/>
              <w:bottom w:val="single" w:color="auto" w:sz="4" w:space="0"/>
              <w:right w:val="single" w:color="auto" w:sz="4" w:space="0"/>
            </w:tcBorders>
            <w:vAlign w:val="center"/>
          </w:tcPr>
          <w:p w14:paraId="19BD2E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05EFA9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对施工总承包单位未按规定开设或者使用农民工工资专用账户的处罚</w:t>
            </w:r>
          </w:p>
        </w:tc>
        <w:tc>
          <w:tcPr>
            <w:tcW w:w="1522" w:type="dxa"/>
            <w:tcBorders>
              <w:top w:val="single" w:color="auto" w:sz="4" w:space="0"/>
              <w:left w:val="nil"/>
              <w:bottom w:val="single" w:color="auto" w:sz="4" w:space="0"/>
              <w:right w:val="single" w:color="auto" w:sz="4" w:space="0"/>
            </w:tcBorders>
            <w:vAlign w:val="center"/>
          </w:tcPr>
          <w:p w14:paraId="3F3B5E1A">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48EDB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74704D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14:paraId="790218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4：“……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4513" w:type="dxa"/>
            <w:tcBorders>
              <w:top w:val="single" w:color="auto" w:sz="4" w:space="0"/>
              <w:left w:val="nil"/>
              <w:bottom w:val="single" w:color="auto" w:sz="4" w:space="0"/>
              <w:right w:val="single" w:color="auto" w:sz="4" w:space="0"/>
            </w:tcBorders>
            <w:vAlign w:val="center"/>
          </w:tcPr>
          <w:p w14:paraId="46DDE8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13CBF75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0CAF6C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317E6E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55E752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0FFA69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6A371CE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46A878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7F13A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31926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4F204A4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281E96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3DF257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477BC5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1805796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1F5E14D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3E95815">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63</w:t>
            </w:r>
          </w:p>
        </w:tc>
        <w:tc>
          <w:tcPr>
            <w:tcW w:w="585" w:type="dxa"/>
            <w:tcBorders>
              <w:top w:val="single" w:color="auto" w:sz="4" w:space="0"/>
              <w:left w:val="nil"/>
              <w:bottom w:val="single" w:color="auto" w:sz="4" w:space="0"/>
              <w:right w:val="single" w:color="auto" w:sz="4" w:space="0"/>
            </w:tcBorders>
            <w:vAlign w:val="center"/>
          </w:tcPr>
          <w:p w14:paraId="219285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396D06E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对施工总承包单位未按规定存储工资保证金或者未提供金融机构保函的处罚</w:t>
            </w:r>
          </w:p>
        </w:tc>
        <w:tc>
          <w:tcPr>
            <w:tcW w:w="1522" w:type="dxa"/>
            <w:tcBorders>
              <w:top w:val="single" w:color="auto" w:sz="4" w:space="0"/>
              <w:left w:val="nil"/>
              <w:bottom w:val="single" w:color="auto" w:sz="4" w:space="0"/>
              <w:right w:val="single" w:color="auto" w:sz="4" w:space="0"/>
            </w:tcBorders>
            <w:vAlign w:val="center"/>
          </w:tcPr>
          <w:p w14:paraId="3E4D8E36">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99C9F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74B76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w:t>
            </w:r>
          </w:p>
          <w:p w14:paraId="458095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5“……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4513" w:type="dxa"/>
            <w:tcBorders>
              <w:top w:val="single" w:color="auto" w:sz="4" w:space="0"/>
              <w:left w:val="nil"/>
              <w:bottom w:val="single" w:color="auto" w:sz="4" w:space="0"/>
              <w:right w:val="single" w:color="auto" w:sz="4" w:space="0"/>
            </w:tcBorders>
            <w:vAlign w:val="center"/>
          </w:tcPr>
          <w:p w14:paraId="2AB088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387DDF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44EE2FE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E0B9E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3ED661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103F876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04671A2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18093F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0A2716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6517BA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74D3057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FD4D63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4025E3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939E2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091DF1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7BD9893A">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B71A9C1">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64</w:t>
            </w:r>
          </w:p>
        </w:tc>
        <w:tc>
          <w:tcPr>
            <w:tcW w:w="585" w:type="dxa"/>
            <w:tcBorders>
              <w:top w:val="single" w:color="auto" w:sz="4" w:space="0"/>
              <w:left w:val="nil"/>
              <w:bottom w:val="single" w:color="auto" w:sz="4" w:space="0"/>
              <w:right w:val="single" w:color="auto" w:sz="4" w:space="0"/>
            </w:tcBorders>
            <w:vAlign w:val="center"/>
          </w:tcPr>
          <w:p w14:paraId="794FAD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auto" w:sz="4" w:space="0"/>
              <w:right w:val="single" w:color="auto" w:sz="4" w:space="0"/>
            </w:tcBorders>
            <w:vAlign w:val="center"/>
          </w:tcPr>
          <w:p w14:paraId="239201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对建设单位未按约定及时足额向农民工工资专用账户拨付工程款中的人工费用的处罚</w:t>
            </w:r>
          </w:p>
        </w:tc>
        <w:tc>
          <w:tcPr>
            <w:tcW w:w="1522" w:type="dxa"/>
            <w:tcBorders>
              <w:top w:val="single" w:color="auto" w:sz="4" w:space="0"/>
              <w:left w:val="nil"/>
              <w:bottom w:val="single" w:color="auto" w:sz="4" w:space="0"/>
              <w:right w:val="single" w:color="auto" w:sz="4" w:space="0"/>
            </w:tcBorders>
            <w:vAlign w:val="center"/>
          </w:tcPr>
          <w:p w14:paraId="1CB6AA7B">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DFBC7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64AF3F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14:paraId="4134A5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12“……由人力资源社会保障行政部门负责查处，责令限期改正；逾期不改正的，责令项目停工，并处罚款”。</w:t>
            </w:r>
          </w:p>
        </w:tc>
        <w:tc>
          <w:tcPr>
            <w:tcW w:w="4513" w:type="dxa"/>
            <w:tcBorders>
              <w:top w:val="single" w:color="auto" w:sz="4" w:space="0"/>
              <w:left w:val="nil"/>
              <w:bottom w:val="single" w:color="auto" w:sz="4" w:space="0"/>
              <w:right w:val="single" w:color="auto" w:sz="4" w:space="0"/>
            </w:tcBorders>
            <w:vAlign w:val="center"/>
          </w:tcPr>
          <w:p w14:paraId="7613E1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42F19C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2DC019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70AD1F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431AB8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619F68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17EC05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0BA603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13DC8B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C4E4E3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1B89A72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C2841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6E60D5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6317A8A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372256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51FD8C20">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000000" w:sz="4" w:space="0"/>
              <w:right w:val="single" w:color="auto" w:sz="4" w:space="0"/>
            </w:tcBorders>
            <w:vAlign w:val="center"/>
          </w:tcPr>
          <w:p w14:paraId="3E403607">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65</w:t>
            </w:r>
          </w:p>
        </w:tc>
        <w:tc>
          <w:tcPr>
            <w:tcW w:w="585" w:type="dxa"/>
            <w:tcBorders>
              <w:top w:val="single" w:color="auto" w:sz="4" w:space="0"/>
              <w:left w:val="nil"/>
              <w:bottom w:val="single" w:color="000000" w:sz="4" w:space="0"/>
              <w:right w:val="single" w:color="auto" w:sz="4" w:space="0"/>
            </w:tcBorders>
            <w:vAlign w:val="center"/>
          </w:tcPr>
          <w:p w14:paraId="5B381C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1243" w:type="dxa"/>
            <w:tcBorders>
              <w:top w:val="single" w:color="auto" w:sz="4" w:space="0"/>
              <w:left w:val="nil"/>
              <w:bottom w:val="single" w:color="000000" w:sz="4" w:space="0"/>
              <w:right w:val="single" w:color="auto" w:sz="4" w:space="0"/>
            </w:tcBorders>
            <w:vAlign w:val="center"/>
          </w:tcPr>
          <w:p w14:paraId="293A03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对建设单位或者施工总承包单位拒不提供或者无法提供工程施工合同、农民工工资专用账户有关资料的处罚</w:t>
            </w:r>
          </w:p>
        </w:tc>
        <w:tc>
          <w:tcPr>
            <w:tcW w:w="1522" w:type="dxa"/>
            <w:tcBorders>
              <w:top w:val="single" w:color="auto" w:sz="4" w:space="0"/>
              <w:left w:val="nil"/>
              <w:bottom w:val="single" w:color="000000" w:sz="4" w:space="0"/>
              <w:right w:val="single" w:color="auto" w:sz="4" w:space="0"/>
            </w:tcBorders>
            <w:vAlign w:val="center"/>
          </w:tcPr>
          <w:p w14:paraId="3165360D">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000000" w:sz="4" w:space="0"/>
              <w:right w:val="single" w:color="auto" w:sz="4" w:space="0"/>
            </w:tcBorders>
            <w:vAlign w:val="center"/>
          </w:tcPr>
          <w:p w14:paraId="2F82A6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000000" w:sz="4" w:space="0"/>
              <w:right w:val="single" w:color="auto" w:sz="4" w:space="0"/>
            </w:tcBorders>
            <w:vAlign w:val="center"/>
          </w:tcPr>
          <w:p w14:paraId="473DD9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14:paraId="4AA6EAE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13“……由人力资源社会保障行政部门负责查处，责令限期改正；逾期不改正的，责令项目停工，并处罚款”。</w:t>
            </w:r>
          </w:p>
        </w:tc>
        <w:tc>
          <w:tcPr>
            <w:tcW w:w="4513" w:type="dxa"/>
            <w:tcBorders>
              <w:top w:val="single" w:color="auto" w:sz="4" w:space="0"/>
              <w:left w:val="nil"/>
              <w:bottom w:val="single" w:color="000000" w:sz="4" w:space="0"/>
              <w:right w:val="single" w:color="auto" w:sz="4" w:space="0"/>
            </w:tcBorders>
            <w:vAlign w:val="center"/>
          </w:tcPr>
          <w:p w14:paraId="0CF3E9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14:paraId="796CF2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14:paraId="7F749E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14:paraId="5E75AD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14:paraId="343F5B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78359D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14:paraId="366194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14:paraId="557C907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6315" w:type="dxa"/>
            <w:tcBorders>
              <w:top w:val="single" w:color="auto" w:sz="4" w:space="0"/>
              <w:left w:val="nil"/>
              <w:bottom w:val="single" w:color="000000" w:sz="4" w:space="0"/>
              <w:right w:val="single" w:color="auto" w:sz="4" w:space="0"/>
            </w:tcBorders>
            <w:vAlign w:val="center"/>
          </w:tcPr>
          <w:p w14:paraId="46520E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DBE1D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7EE8E2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597C59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50B0592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8659B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6E0989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r>
      <w:tr w14:paraId="4F971343">
        <w:tblPrEx>
          <w:tblCellMar>
            <w:top w:w="28" w:type="dxa"/>
            <w:left w:w="28" w:type="dxa"/>
            <w:bottom w:w="28" w:type="dxa"/>
            <w:right w:w="28" w:type="dxa"/>
          </w:tblCellMar>
        </w:tblPrEx>
        <w:trPr>
          <w:trHeight w:val="777"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307">
            <w:pPr>
              <w:widowControl/>
              <w:adjustRightInd w:val="0"/>
              <w:snapToGrid w:val="0"/>
              <w:spacing w:line="300" w:lineRule="exact"/>
              <w:jc w:val="center"/>
              <w:rPr>
                <w:rFonts w:hint="default" w:eastAsia="仿宋_GB2312" w:cs="仿宋_GB2312"/>
                <w:snapToGrid w:val="0"/>
                <w:color w:val="auto"/>
                <w:sz w:val="20"/>
                <w:szCs w:val="20"/>
                <w:highlight w:val="none"/>
                <w:lang w:val="en-US" w:eastAsia="zh-CN"/>
              </w:rPr>
            </w:pPr>
            <w:r>
              <w:rPr>
                <w:rFonts w:hint="eastAsia" w:eastAsia="仿宋_GB2312" w:cs="仿宋_GB2312"/>
                <w:snapToGrid w:val="0"/>
                <w:color w:val="auto"/>
                <w:sz w:val="20"/>
                <w:szCs w:val="20"/>
                <w:highlight w:val="none"/>
                <w:lang w:val="en-US" w:eastAsia="zh-CN"/>
              </w:rPr>
              <w:t>66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1223">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000000"/>
                <w:sz w:val="20"/>
                <w:szCs w:val="20"/>
                <w:highlight w:val="none"/>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E61">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000000"/>
                <w:sz w:val="20"/>
                <w:szCs w:val="20"/>
                <w:highlight w:val="none"/>
              </w:rPr>
              <w:t>对违反中国法律被中国公安机关取消居留资格的外国人的处罚</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2A5">
            <w:pPr>
              <w:widowControl/>
              <w:adjustRightInd w:val="0"/>
              <w:snapToGrid w:val="0"/>
              <w:spacing w:line="300" w:lineRule="exact"/>
              <w:jc w:val="center"/>
              <w:rPr>
                <w:rFonts w:eastAsia="仿宋_GB2312" w:cs="仿宋_GB2312"/>
                <w:snapToGrid w:val="0"/>
                <w:color w:val="auto"/>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4895">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000000"/>
                <w:sz w:val="20"/>
                <w:szCs w:val="20"/>
                <w:highlight w:val="none"/>
              </w:rPr>
              <w:t>设区市</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1C1">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000000"/>
                <w:sz w:val="20"/>
                <w:szCs w:val="20"/>
                <w:highlight w:val="none"/>
              </w:rPr>
              <w:t>【部门规章】《外国人在中国就业管理规定》（1996年1月22日劳部发〔1996〕29号，2017年3月13日修订）第二十五条：“因违反中国法律被中国公安机关取消居留资格的外国人，用人单位应解除劳动合同，劳动部门应吊销就业证。”</w:t>
            </w:r>
          </w:p>
        </w:tc>
        <w:tc>
          <w:tcPr>
            <w:tcW w:w="4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F59F1">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1.立案责任：一次性告知补正材料；接到投诉之日起5个工作日内依法决定是否受理，并于受理之日立案查处，不予受理应当告知理由。</w:t>
            </w:r>
          </w:p>
          <w:p w14:paraId="17DAC8DD">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2.调查责任：案件调查自立案之日起60个工作日内完成；情况复杂的，经本级劳动保障行政部门负责人批准，可延长30个工作日。</w:t>
            </w:r>
          </w:p>
          <w:p w14:paraId="529BE27B">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3.告知责任：作出行政处罚或者行政处理决定前，应当听取用人单位的陈述、申辩，应当告知用人单位依法享有申请行政复议或者提起行政诉讼的权利。</w:t>
            </w:r>
          </w:p>
          <w:p w14:paraId="6CF895AD">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4.决定责任：立案调查完成，应在15个工作日内作出责令改正、行政处罚（行政处理）或者撤销立案决定；特殊情况，经本级劳动保障行政部门负责人批准可以延长。</w:t>
            </w:r>
          </w:p>
          <w:p w14:paraId="52554110">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2185F358">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6.执行责任：当事人对行政处理决定逾期不履行的，劳动保障行政部门可申请人民法院强制执行。</w:t>
            </w:r>
          </w:p>
          <w:p w14:paraId="03F8B3C7">
            <w:pPr>
              <w:widowControl/>
              <w:adjustRightInd w:val="0"/>
              <w:snapToGrid w:val="0"/>
              <w:spacing w:line="300" w:lineRule="exact"/>
              <w:jc w:val="center"/>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7.监督责任：案件结案后应建立档案，档案资料应当至少保存三年。在法律法规允许的范围内公示执法结果。</w:t>
            </w:r>
          </w:p>
          <w:p w14:paraId="22071981">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ascii="仿宋_GB2312" w:hAnsi="仿宋_GB2312" w:eastAsia="仿宋_GB2312" w:cs="仿宋_GB2312"/>
                <w:b w:val="0"/>
                <w:bCs w:val="0"/>
                <w:color w:val="auto"/>
                <w:sz w:val="20"/>
                <w:szCs w:val="20"/>
                <w:highlight w:val="none"/>
                <w:shd w:val="clear" w:color="auto" w:fill="auto"/>
                <w:lang w:eastAsia="zh-CN"/>
              </w:rPr>
              <w:t>8.法律法规规章文件规定的其他应履行的责任。</w:t>
            </w:r>
          </w:p>
        </w:tc>
        <w:tc>
          <w:tcPr>
            <w:tcW w:w="6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E25B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1-1【法律】《中华人民共和国行政处罚法》（2021年1月22日第二十五次会议修订）第四十条：“公民、法人或者其他组织违反行政管理秩序的行为，依法应当给予行政处罚的，行政机关必须查明事实；违法事实不清、证据不足的，不得给予行政处罚。”</w:t>
            </w:r>
          </w:p>
          <w:p w14:paraId="530CE0A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1-2【部门规章】《关于实施〈劳动保障监察条例〉若干规定》（2004年劳动保障部令第25号公布）第十八条：“对符合下列条件的投诉，劳动保障行政部门应当在接到投诉之日起5个工作日内依法受理，并于受理之日立案查处：（一）违反劳动保障法律的行为发生在2年内的；（二）有明确的被投诉用人单位，且投诉人的合法权益受到侵害是被投诉用人单位违反劳动保障法律的行为所造成的；（三）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5C6C11A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-1【法律】《中华人民共和国行政处罚法》（2021年1月22日第二十五次会议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E3B00B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-2【法律】《中华人民共和国行政处罚法》（2021年1月22日第二十五次会议修订）第四十二条：“行政处罚应当由具有行政执法资格的执法人员实施。执法人员不得少于两人，法律另有规定的除外。执法人员应当文明执法，尊重和保护当事人合法权益。”</w:t>
            </w:r>
          </w:p>
          <w:p w14:paraId="1FAE98D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-3【法律】《中华人民共和国行政处罚法》（2021年1月22日第二十五次会议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14:paraId="4729F7A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-4【法律】《中华人民共和国行政处罚法》（2021年1月22日第二十五次会议修订）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102C82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2-5【法律】《中华人民共和国行政处罚法》（2021年1月22日第二十五次会议修订）第四十三条第一款：“执法人员与案件有直接利害关系或者有其他关系可能影响公正执法的，应当回避。”</w:t>
            </w:r>
          </w:p>
          <w:p w14:paraId="42DBDDA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2-6【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2ACBD62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3-1【法律】《中华人民共和国行政处罚法》（2021年1月22日第二十五次会议修订）第七条：“公民、法人或者其他组织对行政机关所给予的行政处罚，享有陈述权、申辩权；对行政处罚不服的，有权依法申请行政复议或者提起行政诉讼。”</w:t>
            </w:r>
          </w:p>
          <w:p w14:paraId="67FF19C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3-2【法律】《中华人民共和国行政处罚法》（2021年1月22日第二十五次会议修订）第五十二条第二款：“前款规定的行政处罚决定书应当载明当事人的违法行为，行政处罚的种类和依据、罚款数额、时间、地点，申请行政复议、提起行政诉讼的途径和期限以及行政机关名称，并由执法人员签名或者盖章。”</w:t>
            </w:r>
          </w:p>
          <w:p w14:paraId="3770FF8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3-3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1DC9B2D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4-1【法律】《中华人民共和国行政处罚法》（2021年1月22日第二十五次会议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631F36D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4-2【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59A0A32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5-1【法律】《中华人民共和国行政处罚法》（2021年1月22日第二十五次会议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3C27E84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b w:val="0"/>
                <w:bCs w:val="0"/>
                <w:color w:val="auto"/>
                <w:sz w:val="20"/>
                <w:szCs w:val="20"/>
                <w:highlight w:val="none"/>
                <w:shd w:val="clear" w:color="auto" w:fill="auto"/>
                <w:lang w:val="en-US" w:eastAsia="zh-CN"/>
              </w:rPr>
            </w:pPr>
            <w:r>
              <w:rPr>
                <w:rFonts w:hint="eastAsia" w:ascii="仿宋_GB2312" w:hAnsi="仿宋_GB2312" w:eastAsia="仿宋_GB2312" w:cs="仿宋_GB2312"/>
                <w:b w:val="0"/>
                <w:bCs w:val="0"/>
                <w:color w:val="auto"/>
                <w:sz w:val="20"/>
                <w:szCs w:val="20"/>
                <w:highlight w:val="none"/>
                <w:shd w:val="clear" w:color="auto" w:fill="auto"/>
                <w:lang w:eastAsia="zh-CN"/>
              </w:rPr>
              <w:t>5-2【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08753C9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6-1【法律】《中华人民共和国行政处罚法》（2021年1月22日第二十五次会议修订）第六十六条：“行政处罚决定依法作出后，当事人应当在行政处罚决定书载明的期限内，予以履行。”</w:t>
            </w:r>
          </w:p>
          <w:p w14:paraId="10D403E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6-2【法律】《中华人民共和国行政处罚法》（2021年1月22日第二十五次会议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39EBB4E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6-3【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70C34D7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val="0"/>
                <w:bCs w:val="0"/>
                <w:color w:val="auto"/>
                <w:sz w:val="20"/>
                <w:szCs w:val="20"/>
                <w:highlight w:val="none"/>
                <w:shd w:val="clear" w:color="auto" w:fill="auto"/>
                <w:lang w:eastAsia="zh-CN"/>
              </w:rPr>
            </w:pPr>
            <w:r>
              <w:rPr>
                <w:rFonts w:hint="eastAsia" w:ascii="仿宋_GB2312" w:hAnsi="仿宋_GB2312" w:eastAsia="仿宋_GB2312" w:cs="仿宋_GB2312"/>
                <w:b w:val="0"/>
                <w:bCs w:val="0"/>
                <w:color w:val="auto"/>
                <w:sz w:val="20"/>
                <w:szCs w:val="20"/>
                <w:highlight w:val="none"/>
                <w:shd w:val="clear" w:color="auto" w:fill="auto"/>
                <w:lang w:eastAsia="zh-CN"/>
              </w:rPr>
              <w:t>7-1【法律】《中华人民共和国行政处罚法》（2021年1月22日第二十五次会议修订）第四十七条：“行政机关应当依法以文字、音像等形式，对行政处罚的启动、调查取证、审核、决定、送达、执行等进行全过程记录，归档保存。”</w:t>
            </w:r>
          </w:p>
          <w:p w14:paraId="5803039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20"/>
                <w:szCs w:val="20"/>
                <w:highlight w:val="none"/>
                <w:shd w:val="clear" w:color="auto" w:fill="auto"/>
                <w:lang w:eastAsia="zh-CN"/>
              </w:rPr>
              <w:t>7-2【部门规章】《关于实施〈劳动保障监察条例〉若干规定》（2004年劳动保障部令第25号公布）第四十条：“劳动保障监察案件结案后应建立档案。档案资料应当至少保存三年。”</w:t>
            </w:r>
          </w:p>
        </w:tc>
      </w:tr>
      <w:tr w14:paraId="52C81F33">
        <w:tblPrEx>
          <w:tblCellMar>
            <w:top w:w="28" w:type="dxa"/>
            <w:left w:w="28" w:type="dxa"/>
            <w:bottom w:w="28" w:type="dxa"/>
            <w:right w:w="28" w:type="dxa"/>
          </w:tblCellMar>
        </w:tblPrEx>
        <w:trPr>
          <w:trHeight w:val="774" w:hRule="atLeast"/>
          <w:jc w:val="center"/>
        </w:trPr>
        <w:tc>
          <w:tcPr>
            <w:tcW w:w="531" w:type="dxa"/>
            <w:tcBorders>
              <w:top w:val="single" w:color="000000" w:sz="4" w:space="0"/>
              <w:left w:val="single" w:color="auto" w:sz="4" w:space="0"/>
              <w:bottom w:val="single" w:color="auto" w:sz="4" w:space="0"/>
              <w:right w:val="single" w:color="auto" w:sz="4" w:space="0"/>
            </w:tcBorders>
            <w:shd w:val="clear" w:color="auto" w:fill="auto"/>
            <w:vAlign w:val="center"/>
          </w:tcPr>
          <w:p w14:paraId="516F74F5">
            <w:pPr>
              <w:widowControl/>
              <w:adjustRightInd w:val="0"/>
              <w:snapToGrid w:val="0"/>
              <w:spacing w:line="300" w:lineRule="exact"/>
              <w:jc w:val="center"/>
              <w:rPr>
                <w:rFonts w:hint="eastAsia"/>
                <w:color w:val="auto"/>
                <w:highlight w:val="none"/>
                <w:lang w:val="en-US" w:eastAsia="zh-CN"/>
              </w:rPr>
            </w:pPr>
          </w:p>
          <w:p w14:paraId="652A960C">
            <w:pPr>
              <w:pStyle w:val="2"/>
              <w:jc w:val="center"/>
              <w:rPr>
                <w:rFonts w:hint="default"/>
                <w:color w:val="auto"/>
                <w:highlight w:val="none"/>
                <w:lang w:val="en-US" w:eastAsia="zh-CN"/>
              </w:rPr>
            </w:pPr>
            <w:r>
              <w:rPr>
                <w:rFonts w:hint="eastAsia"/>
                <w:color w:val="auto"/>
                <w:highlight w:val="none"/>
                <w:lang w:val="en-US" w:eastAsia="zh-CN"/>
              </w:rPr>
              <w:t>67</w:t>
            </w:r>
          </w:p>
        </w:tc>
        <w:tc>
          <w:tcPr>
            <w:tcW w:w="585" w:type="dxa"/>
            <w:tcBorders>
              <w:top w:val="single" w:color="000000" w:sz="4" w:space="0"/>
              <w:left w:val="nil"/>
              <w:bottom w:val="single" w:color="auto" w:sz="4" w:space="0"/>
              <w:right w:val="single" w:color="auto" w:sz="4" w:space="0"/>
            </w:tcBorders>
            <w:shd w:val="clear" w:color="auto" w:fill="auto"/>
            <w:vAlign w:val="center"/>
          </w:tcPr>
          <w:p w14:paraId="14D02231">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sz w:val="20"/>
                <w:szCs w:val="20"/>
                <w:highlight w:val="none"/>
              </w:rPr>
              <w:t>行政处罚</w:t>
            </w:r>
          </w:p>
        </w:tc>
        <w:tc>
          <w:tcPr>
            <w:tcW w:w="1243" w:type="dxa"/>
            <w:tcBorders>
              <w:top w:val="single" w:color="000000" w:sz="4" w:space="0"/>
              <w:left w:val="nil"/>
              <w:bottom w:val="single" w:color="auto" w:sz="4" w:space="0"/>
              <w:right w:val="single" w:color="auto" w:sz="4" w:space="0"/>
            </w:tcBorders>
            <w:shd w:val="clear" w:color="auto" w:fill="auto"/>
            <w:vAlign w:val="center"/>
          </w:tcPr>
          <w:p w14:paraId="0B3447A8">
            <w:pPr>
              <w:widowControl/>
              <w:adjustRightInd w:val="0"/>
              <w:snapToGrid w:val="0"/>
              <w:spacing w:line="300" w:lineRule="exact"/>
              <w:jc w:val="center"/>
              <w:rPr>
                <w:rFonts w:hint="eastAsia" w:ascii="Times New Roman" w:hAnsi="Times New Roman" w:eastAsia="仿宋_GB2312" w:cs="仿宋_GB2312"/>
                <w:snapToGrid w:val="0"/>
                <w:color w:val="auto"/>
                <w:kern w:val="2"/>
                <w:sz w:val="20"/>
                <w:szCs w:val="20"/>
                <w:highlight w:val="none"/>
                <w:lang w:val="en-US" w:eastAsia="zh-CN" w:bidi="ar-SA"/>
              </w:rPr>
            </w:pPr>
            <w:r>
              <w:rPr>
                <w:rFonts w:hint="eastAsia" w:eastAsia="仿宋_GB2312" w:cs="仿宋_GB2312"/>
                <w:snapToGrid w:val="0"/>
                <w:sz w:val="20"/>
                <w:szCs w:val="20"/>
                <w:highlight w:val="none"/>
              </w:rPr>
              <w:t>对拒绝劳动行政部门检查就业证、擅自变更用人单位、更换职业、延长就业期限的外国人的处罚</w:t>
            </w:r>
          </w:p>
        </w:tc>
        <w:tc>
          <w:tcPr>
            <w:tcW w:w="1522" w:type="dxa"/>
            <w:tcBorders>
              <w:top w:val="single" w:color="000000" w:sz="4" w:space="0"/>
              <w:left w:val="nil"/>
              <w:bottom w:val="single" w:color="auto" w:sz="4" w:space="0"/>
              <w:right w:val="single" w:color="auto" w:sz="4" w:space="0"/>
            </w:tcBorders>
            <w:shd w:val="clear" w:color="auto" w:fill="auto"/>
            <w:vAlign w:val="center"/>
          </w:tcPr>
          <w:p w14:paraId="34EFD46E">
            <w:pPr>
              <w:widowControl/>
              <w:adjustRightInd w:val="0"/>
              <w:snapToGrid w:val="0"/>
              <w:spacing w:line="300" w:lineRule="exact"/>
              <w:jc w:val="center"/>
              <w:rPr>
                <w:rFonts w:eastAsia="仿宋_GB2312" w:cs="仿宋_GB2312"/>
                <w:snapToGrid w:val="0"/>
                <w:color w:val="auto"/>
                <w:sz w:val="20"/>
                <w:szCs w:val="20"/>
                <w:highlight w:val="none"/>
              </w:rPr>
            </w:pPr>
          </w:p>
        </w:tc>
        <w:tc>
          <w:tcPr>
            <w:tcW w:w="1076" w:type="dxa"/>
            <w:tcBorders>
              <w:top w:val="single" w:color="000000" w:sz="4" w:space="0"/>
              <w:left w:val="nil"/>
              <w:bottom w:val="single" w:color="auto" w:sz="4" w:space="0"/>
              <w:right w:val="single" w:color="auto" w:sz="4" w:space="0"/>
            </w:tcBorders>
            <w:shd w:val="clear" w:color="auto" w:fill="auto"/>
            <w:vAlign w:val="center"/>
          </w:tcPr>
          <w:p w14:paraId="02242D13">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auto"/>
                <w:sz w:val="20"/>
                <w:szCs w:val="20"/>
                <w:highlight w:val="none"/>
              </w:rPr>
              <w:t>设区市</w:t>
            </w:r>
          </w:p>
        </w:tc>
        <w:tc>
          <w:tcPr>
            <w:tcW w:w="6101" w:type="dxa"/>
            <w:tcBorders>
              <w:top w:val="single" w:color="000000" w:sz="4" w:space="0"/>
              <w:left w:val="nil"/>
              <w:bottom w:val="single" w:color="auto" w:sz="4" w:space="0"/>
              <w:right w:val="single" w:color="000000" w:sz="4" w:space="0"/>
            </w:tcBorders>
            <w:shd w:val="clear" w:color="auto" w:fill="auto"/>
            <w:vAlign w:val="center"/>
          </w:tcPr>
          <w:p w14:paraId="5849ABE7">
            <w:pPr>
              <w:widowControl/>
              <w:adjustRightInd w:val="0"/>
              <w:snapToGrid w:val="0"/>
              <w:spacing w:line="300" w:lineRule="exact"/>
              <w:jc w:val="center"/>
              <w:rPr>
                <w:rFonts w:hint="eastAsia" w:ascii="Times New Roman" w:hAnsi="Times New Roman" w:eastAsia="仿宋_GB2312" w:cs="仿宋_GB2312"/>
                <w:snapToGrid w:val="0"/>
                <w:color w:val="auto"/>
                <w:kern w:val="2"/>
                <w:sz w:val="20"/>
                <w:szCs w:val="20"/>
                <w:highlight w:val="none"/>
                <w:lang w:val="en-US" w:eastAsia="zh-CN" w:bidi="ar-SA"/>
              </w:rPr>
            </w:pPr>
            <w:r>
              <w:rPr>
                <w:rFonts w:hint="eastAsia" w:eastAsia="仿宋_GB2312" w:cs="仿宋_GB2312"/>
                <w:snapToGrid w:val="0"/>
                <w:color w:val="auto"/>
                <w:sz w:val="20"/>
                <w:szCs w:val="20"/>
                <w:highlight w:val="none"/>
              </w:rPr>
              <w:t>【部门规章】《外国人在中国就业管理规定》（1996年1月22日劳部发〔1996〕29号，2017年3月13日修订）第二十九条：“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4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1553">
            <w:pPr>
              <w:widowControl/>
              <w:adjustRightInd w:val="0"/>
              <w:snapToGrid w:val="0"/>
              <w:spacing w:line="300" w:lineRule="exact"/>
              <w:jc w:val="center"/>
              <w:rPr>
                <w:rFonts w:hint="eastAsia" w:eastAsia="仿宋_GB2312" w:cs="仿宋_GB2312"/>
                <w:snapToGrid w:val="0"/>
                <w:color w:val="auto"/>
                <w:sz w:val="20"/>
                <w:szCs w:val="20"/>
                <w:highlight w:val="none"/>
              </w:rPr>
            </w:pPr>
          </w:p>
        </w:tc>
        <w:tc>
          <w:tcPr>
            <w:tcW w:w="6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C2E9">
            <w:pPr>
              <w:widowControl/>
              <w:adjustRightInd w:val="0"/>
              <w:snapToGrid w:val="0"/>
              <w:spacing w:line="300" w:lineRule="exact"/>
              <w:jc w:val="center"/>
              <w:rPr>
                <w:rFonts w:hint="eastAsia" w:eastAsia="仿宋_GB2312" w:cs="仿宋_GB2312"/>
                <w:snapToGrid w:val="0"/>
                <w:color w:val="auto"/>
                <w:sz w:val="20"/>
                <w:szCs w:val="20"/>
                <w:highlight w:val="none"/>
              </w:rPr>
            </w:pPr>
          </w:p>
        </w:tc>
      </w:tr>
      <w:tr w14:paraId="6FF24E2D">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0C85DA9C">
            <w:pPr>
              <w:pStyle w:val="2"/>
              <w:jc w:val="center"/>
              <w:rPr>
                <w:rFonts w:hint="default"/>
                <w:color w:val="auto"/>
                <w:highlight w:val="none"/>
                <w:lang w:val="en-US" w:eastAsia="zh-CN"/>
              </w:rPr>
            </w:pPr>
            <w:r>
              <w:rPr>
                <w:rFonts w:hint="eastAsia"/>
                <w:color w:val="auto"/>
                <w:highlight w:val="none"/>
                <w:lang w:val="en-US" w:eastAsia="zh-CN"/>
              </w:rPr>
              <w:t>68</w:t>
            </w:r>
          </w:p>
        </w:tc>
        <w:tc>
          <w:tcPr>
            <w:tcW w:w="585" w:type="dxa"/>
            <w:tcBorders>
              <w:top w:val="single" w:color="auto" w:sz="4" w:space="0"/>
              <w:left w:val="nil"/>
              <w:bottom w:val="single" w:color="auto" w:sz="4" w:space="0"/>
              <w:right w:val="single" w:color="auto" w:sz="4" w:space="0"/>
            </w:tcBorders>
            <w:shd w:val="clear" w:color="auto" w:fill="auto"/>
            <w:vAlign w:val="center"/>
          </w:tcPr>
          <w:p w14:paraId="4D2310A2">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auto"/>
                <w:sz w:val="20"/>
                <w:szCs w:val="20"/>
                <w:highlight w:val="none"/>
              </w:rPr>
              <w:t>行政处罚</w:t>
            </w:r>
          </w:p>
        </w:tc>
        <w:tc>
          <w:tcPr>
            <w:tcW w:w="1243" w:type="dxa"/>
            <w:tcBorders>
              <w:top w:val="single" w:color="auto" w:sz="4" w:space="0"/>
              <w:left w:val="nil"/>
              <w:bottom w:val="single" w:color="auto" w:sz="4" w:space="0"/>
              <w:right w:val="single" w:color="auto" w:sz="4" w:space="0"/>
            </w:tcBorders>
            <w:shd w:val="clear" w:color="auto" w:fill="auto"/>
            <w:vAlign w:val="center"/>
          </w:tcPr>
          <w:p w14:paraId="59C0E4C7">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auto"/>
                <w:sz w:val="20"/>
                <w:szCs w:val="20"/>
                <w:highlight w:val="none"/>
              </w:rPr>
              <w:t>对外国人和用人单位伪造、涂改、冒用、转让、买卖就业证和许可证书的处罚</w:t>
            </w:r>
          </w:p>
        </w:tc>
        <w:tc>
          <w:tcPr>
            <w:tcW w:w="1522" w:type="dxa"/>
            <w:tcBorders>
              <w:top w:val="single" w:color="auto" w:sz="4" w:space="0"/>
              <w:left w:val="nil"/>
              <w:bottom w:val="single" w:color="auto" w:sz="4" w:space="0"/>
              <w:right w:val="single" w:color="auto" w:sz="4" w:space="0"/>
            </w:tcBorders>
            <w:shd w:val="clear" w:color="auto" w:fill="auto"/>
            <w:vAlign w:val="center"/>
          </w:tcPr>
          <w:p w14:paraId="01C13614">
            <w:pPr>
              <w:widowControl/>
              <w:adjustRightInd w:val="0"/>
              <w:snapToGrid w:val="0"/>
              <w:spacing w:line="300" w:lineRule="exact"/>
              <w:jc w:val="center"/>
              <w:rPr>
                <w:rFonts w:eastAsia="仿宋_GB2312" w:cs="仿宋_GB2312"/>
                <w:snapToGrid w:val="0"/>
                <w:color w:val="auto"/>
                <w:sz w:val="20"/>
                <w:szCs w:val="20"/>
                <w:highlight w:val="none"/>
              </w:rPr>
            </w:pPr>
          </w:p>
        </w:tc>
        <w:tc>
          <w:tcPr>
            <w:tcW w:w="1076" w:type="dxa"/>
            <w:tcBorders>
              <w:top w:val="single" w:color="auto" w:sz="4" w:space="0"/>
              <w:left w:val="nil"/>
              <w:bottom w:val="single" w:color="auto" w:sz="4" w:space="0"/>
              <w:right w:val="single" w:color="auto" w:sz="4" w:space="0"/>
            </w:tcBorders>
            <w:shd w:val="clear" w:color="auto" w:fill="auto"/>
            <w:vAlign w:val="center"/>
          </w:tcPr>
          <w:p w14:paraId="2EC8ED8F">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auto"/>
                <w:sz w:val="20"/>
                <w:szCs w:val="20"/>
                <w:highlight w:val="none"/>
              </w:rPr>
              <w:t>设区市</w:t>
            </w:r>
          </w:p>
        </w:tc>
        <w:tc>
          <w:tcPr>
            <w:tcW w:w="6101" w:type="dxa"/>
            <w:tcBorders>
              <w:top w:val="single" w:color="auto" w:sz="4" w:space="0"/>
              <w:left w:val="nil"/>
              <w:bottom w:val="single" w:color="auto" w:sz="4" w:space="0"/>
              <w:right w:val="single" w:color="000000" w:sz="4" w:space="0"/>
            </w:tcBorders>
            <w:shd w:val="clear" w:color="auto" w:fill="auto"/>
            <w:vAlign w:val="center"/>
          </w:tcPr>
          <w:p w14:paraId="1BD26F01">
            <w:pPr>
              <w:widowControl/>
              <w:adjustRightInd w:val="0"/>
              <w:snapToGrid w:val="0"/>
              <w:spacing w:line="300" w:lineRule="exact"/>
              <w:jc w:val="center"/>
              <w:rPr>
                <w:rFonts w:hint="eastAsia" w:eastAsia="仿宋_GB2312" w:cs="仿宋_GB2312"/>
                <w:snapToGrid w:val="0"/>
                <w:color w:val="auto"/>
                <w:sz w:val="20"/>
                <w:szCs w:val="20"/>
                <w:highlight w:val="none"/>
              </w:rPr>
            </w:pPr>
            <w:r>
              <w:rPr>
                <w:rFonts w:hint="eastAsia" w:eastAsia="仿宋_GB2312" w:cs="仿宋_GB2312"/>
                <w:snapToGrid w:val="0"/>
                <w:color w:val="auto"/>
                <w:sz w:val="20"/>
                <w:szCs w:val="20"/>
                <w:highlight w:val="none"/>
              </w:rPr>
              <w:t>【部门规章】《外国人在中国就业管理规定》（1996年1月22日劳部发〔1996〕29号，2017年3月13日修订）第三十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4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A42F">
            <w:pPr>
              <w:widowControl/>
              <w:adjustRightInd w:val="0"/>
              <w:snapToGrid w:val="0"/>
              <w:spacing w:line="300" w:lineRule="exact"/>
              <w:jc w:val="center"/>
              <w:rPr>
                <w:rFonts w:hint="eastAsia" w:eastAsia="仿宋_GB2312" w:cs="仿宋_GB2312"/>
                <w:snapToGrid w:val="0"/>
                <w:color w:val="auto"/>
                <w:sz w:val="20"/>
                <w:szCs w:val="20"/>
                <w:highlight w:val="none"/>
              </w:rPr>
            </w:pPr>
          </w:p>
        </w:tc>
        <w:tc>
          <w:tcPr>
            <w:tcW w:w="6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F370">
            <w:pPr>
              <w:widowControl/>
              <w:adjustRightInd w:val="0"/>
              <w:snapToGrid w:val="0"/>
              <w:spacing w:line="300" w:lineRule="exact"/>
              <w:rPr>
                <w:rFonts w:hint="eastAsia" w:eastAsia="仿宋_GB2312" w:cs="仿宋_GB2312"/>
                <w:snapToGrid w:val="0"/>
                <w:color w:val="auto"/>
                <w:sz w:val="20"/>
                <w:szCs w:val="20"/>
                <w:highlight w:val="none"/>
              </w:rPr>
            </w:pPr>
          </w:p>
        </w:tc>
      </w:tr>
      <w:tr w14:paraId="2DDE4470">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1E9B334A">
            <w:pPr>
              <w:pStyle w:val="2"/>
              <w:jc w:val="center"/>
              <w:rPr>
                <w:rFonts w:hint="default"/>
                <w:color w:val="auto"/>
                <w:highlight w:val="none"/>
                <w:lang w:val="en-US" w:eastAsia="zh-CN"/>
              </w:rPr>
            </w:pPr>
            <w:r>
              <w:rPr>
                <w:rFonts w:hint="eastAsia"/>
                <w:color w:val="auto"/>
                <w:highlight w:val="none"/>
                <w:lang w:val="en-US" w:eastAsia="zh-CN"/>
              </w:rPr>
              <w:t>69</w:t>
            </w:r>
          </w:p>
        </w:tc>
        <w:tc>
          <w:tcPr>
            <w:tcW w:w="585" w:type="dxa"/>
            <w:tcBorders>
              <w:top w:val="single" w:color="auto" w:sz="4" w:space="0"/>
              <w:left w:val="nil"/>
              <w:bottom w:val="single" w:color="auto" w:sz="4" w:space="0"/>
              <w:right w:val="single" w:color="auto" w:sz="4" w:space="0"/>
            </w:tcBorders>
            <w:shd w:val="clear" w:color="auto" w:fill="auto"/>
            <w:vAlign w:val="center"/>
          </w:tcPr>
          <w:p w14:paraId="369D1923">
            <w:pPr>
              <w:widowControl/>
              <w:adjustRightInd w:val="0"/>
              <w:snapToGrid w:val="0"/>
              <w:spacing w:line="300" w:lineRule="exact"/>
              <w:jc w:val="center"/>
              <w:rPr>
                <w:rFonts w:hint="eastAsia" w:ascii="Times New Roman" w:hAnsi="Times New Roman" w:eastAsia="仿宋_GB2312" w:cs="仿宋_GB2312"/>
                <w:snapToGrid w:val="0"/>
                <w:color w:val="000000"/>
                <w:kern w:val="2"/>
                <w:sz w:val="20"/>
                <w:szCs w:val="20"/>
                <w:highlight w:val="none"/>
                <w:lang w:val="en-US" w:eastAsia="zh-CN" w:bidi="ar-SA"/>
              </w:rPr>
            </w:pPr>
            <w:r>
              <w:rPr>
                <w:rFonts w:hint="eastAsia" w:eastAsia="仿宋_GB2312" w:cs="仿宋_GB2312"/>
                <w:snapToGrid w:val="0"/>
                <w:color w:val="000000"/>
                <w:sz w:val="20"/>
                <w:szCs w:val="20"/>
                <w:highlight w:val="none"/>
              </w:rPr>
              <w:t>行政</w:t>
            </w:r>
            <w:r>
              <w:rPr>
                <w:rFonts w:hint="eastAsia" w:eastAsia="仿宋_GB2312" w:cs="仿宋_GB2312"/>
                <w:snapToGrid w:val="0"/>
                <w:color w:val="000000"/>
                <w:sz w:val="20"/>
                <w:szCs w:val="20"/>
                <w:highlight w:val="none"/>
                <w:lang w:eastAsia="zh-CN"/>
              </w:rPr>
              <w:t>处罚</w:t>
            </w:r>
          </w:p>
        </w:tc>
        <w:tc>
          <w:tcPr>
            <w:tcW w:w="1243" w:type="dxa"/>
            <w:tcBorders>
              <w:top w:val="single" w:color="auto" w:sz="4" w:space="0"/>
              <w:left w:val="nil"/>
              <w:bottom w:val="single" w:color="auto" w:sz="4" w:space="0"/>
              <w:right w:val="single" w:color="auto" w:sz="4" w:space="0"/>
            </w:tcBorders>
            <w:shd w:val="clear" w:color="auto" w:fill="auto"/>
            <w:vAlign w:val="center"/>
          </w:tcPr>
          <w:p w14:paraId="02D4153D">
            <w:pPr>
              <w:widowControl/>
              <w:adjustRightInd w:val="0"/>
              <w:snapToGrid w:val="0"/>
              <w:spacing w:line="300" w:lineRule="exact"/>
              <w:jc w:val="center"/>
              <w:rPr>
                <w:rFonts w:hint="eastAsia" w:ascii="Times New Roman" w:hAnsi="Times New Roman" w:eastAsia="宋体" w:cs="Times New Roman"/>
                <w:kern w:val="2"/>
                <w:sz w:val="21"/>
                <w:szCs w:val="24"/>
                <w:lang w:val="en-US" w:eastAsia="zh-CN" w:bidi="ar-SA"/>
              </w:rPr>
            </w:pPr>
            <w:r>
              <w:rPr>
                <w:rFonts w:hint="default" w:eastAsia="仿宋_GB2312" w:cs="仿宋_GB2312"/>
                <w:snapToGrid w:val="0"/>
                <w:color w:val="000000"/>
                <w:sz w:val="20"/>
                <w:szCs w:val="20"/>
                <w:highlight w:val="none"/>
              </w:rPr>
              <w:t>对</w:t>
            </w:r>
            <w:r>
              <w:rPr>
                <w:rFonts w:hint="eastAsia" w:ascii="仿宋_GB2312" w:hAnsi="仿宋_GB2312" w:eastAsia="仿宋_GB2312" w:cs="仿宋_GB2312"/>
                <w:snapToGrid w:val="0"/>
                <w:color w:val="auto"/>
                <w:szCs w:val="21"/>
                <w:lang w:eastAsia="zh-CN"/>
              </w:rPr>
              <w:t>职业学校、职业培训机构</w:t>
            </w:r>
            <w:r>
              <w:rPr>
                <w:rFonts w:hint="eastAsia" w:eastAsia="仿宋_GB2312" w:cs="仿宋_GB2312"/>
                <w:snapToGrid w:val="0"/>
                <w:color w:val="000000"/>
                <w:sz w:val="20"/>
                <w:szCs w:val="20"/>
                <w:highlight w:val="none"/>
                <w:lang w:eastAsia="zh-CN"/>
              </w:rPr>
              <w:t>违法行为的处罚</w:t>
            </w:r>
          </w:p>
        </w:tc>
        <w:tc>
          <w:tcPr>
            <w:tcW w:w="1522" w:type="dxa"/>
            <w:tcBorders>
              <w:top w:val="single" w:color="auto" w:sz="4" w:space="0"/>
              <w:left w:val="nil"/>
              <w:bottom w:val="single" w:color="auto" w:sz="4" w:space="0"/>
              <w:right w:val="single" w:color="auto" w:sz="4" w:space="0"/>
            </w:tcBorders>
            <w:shd w:val="clear" w:color="auto" w:fill="auto"/>
            <w:vAlign w:val="center"/>
          </w:tcPr>
          <w:p w14:paraId="0F2FBE21"/>
          <w:p w14:paraId="0D7425C7">
            <w:pPr>
              <w:widowControl/>
              <w:adjustRightInd w:val="0"/>
              <w:snapToGrid w:val="0"/>
              <w:spacing w:line="300" w:lineRule="exact"/>
              <w:jc w:val="center"/>
              <w:rPr>
                <w:rFonts w:ascii="Times New Roman" w:hAnsi="Times New Roman" w:eastAsia="仿宋_GB2312" w:cs="仿宋_GB2312"/>
                <w:snapToGrid w:val="0"/>
                <w:color w:val="000000"/>
                <w:kern w:val="2"/>
                <w:sz w:val="20"/>
                <w:szCs w:val="20"/>
                <w:highlight w:val="none"/>
                <w:lang w:val="en-US" w:eastAsia="zh-CN" w:bidi="ar-SA"/>
              </w:rPr>
            </w:pPr>
          </w:p>
        </w:tc>
        <w:tc>
          <w:tcPr>
            <w:tcW w:w="1076" w:type="dxa"/>
            <w:tcBorders>
              <w:top w:val="single" w:color="auto" w:sz="4" w:space="0"/>
              <w:left w:val="nil"/>
              <w:bottom w:val="single" w:color="auto" w:sz="4" w:space="0"/>
              <w:right w:val="single" w:color="auto" w:sz="4" w:space="0"/>
            </w:tcBorders>
            <w:shd w:val="clear" w:color="auto" w:fill="auto"/>
            <w:vAlign w:val="center"/>
          </w:tcPr>
          <w:p w14:paraId="32B6227F">
            <w:pPr>
              <w:widowControl/>
              <w:adjustRightInd w:val="0"/>
              <w:snapToGrid w:val="0"/>
              <w:spacing w:line="300" w:lineRule="exact"/>
              <w:jc w:val="center"/>
              <w:rPr>
                <w:rFonts w:hint="eastAsia" w:ascii="Times New Roman" w:hAnsi="Times New Roman" w:eastAsia="仿宋_GB2312" w:cs="仿宋_GB2312"/>
                <w:snapToGrid w:val="0"/>
                <w:color w:val="000000"/>
                <w:kern w:val="2"/>
                <w:sz w:val="20"/>
                <w:szCs w:val="20"/>
                <w:highlight w:val="none"/>
                <w:lang w:val="en-US" w:eastAsia="zh-CN" w:bidi="ar-SA"/>
              </w:rPr>
            </w:pPr>
            <w:r>
              <w:rPr>
                <w:rFonts w:hint="eastAsia" w:eastAsia="仿宋_GB2312" w:cs="仿宋_GB2312"/>
                <w:snapToGrid w:val="0"/>
                <w:color w:val="000000"/>
                <w:sz w:val="20"/>
                <w:szCs w:val="20"/>
                <w:highlight w:val="none"/>
              </w:rPr>
              <w:t>设区市</w:t>
            </w:r>
            <w:r>
              <w:rPr>
                <w:rFonts w:hint="eastAsia" w:eastAsia="仿宋_GB2312" w:cs="仿宋_GB2312"/>
                <w:snapToGrid w:val="0"/>
                <w:color w:val="000000"/>
                <w:sz w:val="20"/>
                <w:szCs w:val="20"/>
                <w:highlight w:val="none"/>
                <w:lang w:eastAsia="zh-CN"/>
              </w:rPr>
              <w:t>、县级</w:t>
            </w:r>
          </w:p>
        </w:tc>
        <w:tc>
          <w:tcPr>
            <w:tcW w:w="6101" w:type="dxa"/>
            <w:tcBorders>
              <w:top w:val="single" w:color="auto" w:sz="4" w:space="0"/>
              <w:left w:val="nil"/>
              <w:bottom w:val="single" w:color="auto" w:sz="4" w:space="0"/>
              <w:right w:val="single" w:color="000000" w:sz="4" w:space="0"/>
            </w:tcBorders>
            <w:shd w:val="clear" w:color="auto" w:fill="auto"/>
            <w:vAlign w:val="center"/>
          </w:tcPr>
          <w:p w14:paraId="64AD13FC">
            <w:pPr>
              <w:widowControl/>
              <w:adjustRightInd w:val="0"/>
              <w:snapToGrid w:val="0"/>
              <w:spacing w:line="24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rPr>
              <w:t>【法律】《中华人民共和国</w:t>
            </w:r>
            <w:r>
              <w:rPr>
                <w:rFonts w:hint="eastAsia" w:eastAsia="仿宋_GB2312" w:cs="仿宋_GB2312"/>
                <w:snapToGrid w:val="0"/>
                <w:sz w:val="20"/>
                <w:szCs w:val="20"/>
                <w:lang w:eastAsia="zh-CN"/>
              </w:rPr>
              <w:t>职业教育法</w:t>
            </w:r>
            <w:r>
              <w:rPr>
                <w:rFonts w:hint="eastAsia" w:eastAsia="仿宋_GB2312" w:cs="仿宋_GB2312"/>
                <w:snapToGrid w:val="0"/>
                <w:sz w:val="20"/>
                <w:szCs w:val="20"/>
              </w:rPr>
              <w:t>》（20</w:t>
            </w:r>
            <w:r>
              <w:rPr>
                <w:rFonts w:hint="eastAsia" w:eastAsia="仿宋_GB2312" w:cs="仿宋_GB2312"/>
                <w:snapToGrid w:val="0"/>
                <w:sz w:val="20"/>
                <w:szCs w:val="20"/>
                <w:lang w:val="en-US" w:eastAsia="zh-CN"/>
              </w:rPr>
              <w:t>2</w:t>
            </w:r>
            <w:r>
              <w:rPr>
                <w:rFonts w:hint="eastAsia" w:eastAsia="仿宋_GB2312" w:cs="仿宋_GB2312"/>
                <w:snapToGrid w:val="0"/>
                <w:sz w:val="20"/>
                <w:szCs w:val="20"/>
              </w:rPr>
              <w:t>2年</w:t>
            </w:r>
            <w:r>
              <w:rPr>
                <w:rFonts w:hint="eastAsia" w:eastAsia="仿宋_GB2312" w:cs="仿宋_GB2312"/>
                <w:snapToGrid w:val="0"/>
                <w:sz w:val="20"/>
                <w:szCs w:val="20"/>
                <w:lang w:val="en-US" w:eastAsia="zh-CN"/>
              </w:rPr>
              <w:t>4</w:t>
            </w:r>
            <w:r>
              <w:rPr>
                <w:rFonts w:hint="eastAsia" w:eastAsia="仿宋_GB2312" w:cs="仿宋_GB2312"/>
                <w:snapToGrid w:val="0"/>
                <w:sz w:val="20"/>
                <w:szCs w:val="20"/>
              </w:rPr>
              <w:t>月2</w:t>
            </w:r>
            <w:r>
              <w:rPr>
                <w:rFonts w:hint="eastAsia" w:eastAsia="仿宋_GB2312" w:cs="仿宋_GB2312"/>
                <w:snapToGrid w:val="0"/>
                <w:sz w:val="20"/>
                <w:szCs w:val="20"/>
                <w:lang w:val="en-US" w:eastAsia="zh-CN"/>
              </w:rPr>
              <w:t>0</w:t>
            </w:r>
            <w:r>
              <w:rPr>
                <w:rFonts w:hint="eastAsia" w:eastAsia="仿宋_GB2312" w:cs="仿宋_GB2312"/>
                <w:snapToGrid w:val="0"/>
                <w:sz w:val="20"/>
                <w:szCs w:val="20"/>
              </w:rPr>
              <w:t>日</w:t>
            </w:r>
            <w:r>
              <w:rPr>
                <w:rFonts w:hint="eastAsia" w:eastAsia="仿宋_GB2312" w:cs="仿宋_GB2312"/>
                <w:snapToGrid w:val="0"/>
                <w:sz w:val="20"/>
                <w:szCs w:val="20"/>
                <w:lang w:eastAsia="zh-CN"/>
              </w:rPr>
              <w:t>修订</w:t>
            </w:r>
            <w:r>
              <w:rPr>
                <w:rFonts w:hint="eastAsia" w:eastAsia="仿宋_GB2312" w:cs="仿宋_GB2312"/>
                <w:snapToGrid w:val="0"/>
                <w:sz w:val="20"/>
                <w:szCs w:val="20"/>
              </w:rPr>
              <w:t>通过，</w:t>
            </w:r>
            <w:r>
              <w:rPr>
                <w:rFonts w:hint="eastAsia" w:eastAsia="仿宋_GB2312" w:cs="仿宋_GB2312"/>
                <w:snapToGrid w:val="0"/>
                <w:sz w:val="20"/>
                <w:szCs w:val="20"/>
                <w:lang w:eastAsia="zh-CN"/>
              </w:rPr>
              <w:t>自</w:t>
            </w:r>
            <w:r>
              <w:rPr>
                <w:rFonts w:hint="eastAsia" w:eastAsia="仿宋_GB2312" w:cs="仿宋_GB2312"/>
                <w:snapToGrid w:val="0"/>
                <w:sz w:val="20"/>
                <w:szCs w:val="20"/>
              </w:rPr>
              <w:t>20</w:t>
            </w:r>
            <w:r>
              <w:rPr>
                <w:rFonts w:hint="eastAsia" w:eastAsia="仿宋_GB2312" w:cs="仿宋_GB2312"/>
                <w:snapToGrid w:val="0"/>
                <w:sz w:val="20"/>
                <w:szCs w:val="20"/>
                <w:lang w:val="en-US" w:eastAsia="zh-CN"/>
              </w:rPr>
              <w:t>22</w:t>
            </w:r>
            <w:r>
              <w:rPr>
                <w:rFonts w:hint="eastAsia" w:eastAsia="仿宋_GB2312" w:cs="仿宋_GB2312"/>
                <w:snapToGrid w:val="0"/>
                <w:sz w:val="20"/>
                <w:szCs w:val="20"/>
              </w:rPr>
              <w:t>年</w:t>
            </w:r>
            <w:r>
              <w:rPr>
                <w:rFonts w:hint="eastAsia" w:eastAsia="仿宋_GB2312" w:cs="仿宋_GB2312"/>
                <w:snapToGrid w:val="0"/>
                <w:sz w:val="20"/>
                <w:szCs w:val="20"/>
                <w:lang w:val="en-US" w:eastAsia="zh-CN"/>
              </w:rPr>
              <w:t>5</w:t>
            </w:r>
            <w:r>
              <w:rPr>
                <w:rFonts w:hint="eastAsia" w:eastAsia="仿宋_GB2312" w:cs="仿宋_GB2312"/>
                <w:snapToGrid w:val="0"/>
                <w:sz w:val="20"/>
                <w:szCs w:val="20"/>
              </w:rPr>
              <w:t>月</w:t>
            </w:r>
            <w:r>
              <w:rPr>
                <w:rFonts w:hint="eastAsia" w:eastAsia="仿宋_GB2312" w:cs="仿宋_GB2312"/>
                <w:snapToGrid w:val="0"/>
                <w:sz w:val="20"/>
                <w:szCs w:val="20"/>
                <w:lang w:val="en-US" w:eastAsia="zh-CN"/>
              </w:rPr>
              <w:t>1</w:t>
            </w:r>
            <w:r>
              <w:rPr>
                <w:rFonts w:hint="eastAsia" w:eastAsia="仿宋_GB2312" w:cs="仿宋_GB2312"/>
                <w:snapToGrid w:val="0"/>
                <w:sz w:val="20"/>
                <w:szCs w:val="20"/>
              </w:rPr>
              <w:t>日</w:t>
            </w:r>
            <w:r>
              <w:rPr>
                <w:rFonts w:hint="eastAsia" w:eastAsia="仿宋_GB2312" w:cs="仿宋_GB2312"/>
                <w:snapToGrid w:val="0"/>
                <w:sz w:val="20"/>
                <w:szCs w:val="20"/>
                <w:lang w:eastAsia="zh-CN"/>
              </w:rPr>
              <w:t>起施行</w:t>
            </w:r>
            <w:r>
              <w:rPr>
                <w:rFonts w:hint="eastAsia" w:eastAsia="仿宋_GB2312" w:cs="仿宋_GB2312"/>
                <w:snapToGrid w:val="0"/>
                <w:sz w:val="20"/>
                <w:szCs w:val="20"/>
              </w:rPr>
              <w:t>）第十二条：</w:t>
            </w:r>
            <w:r>
              <w:rPr>
                <w:rFonts w:hint="eastAsia" w:eastAsia="仿宋_GB2312" w:cs="仿宋_GB2312"/>
                <w:snapToGrid w:val="0"/>
                <w:sz w:val="20"/>
                <w:szCs w:val="20"/>
                <w:lang w:eastAsia="zh-CN"/>
              </w:rPr>
              <w:t>职业学校教育分为中等职业学校教育、高等职业学校教育</w:t>
            </w:r>
            <w:r>
              <w:rPr>
                <w:rFonts w:hint="eastAsia" w:eastAsia="仿宋_GB2312" w:cs="仿宋_GB2312"/>
                <w:snapToGrid w:val="0"/>
                <w:sz w:val="20"/>
                <w:szCs w:val="20"/>
              </w:rPr>
              <w:t>。</w:t>
            </w:r>
            <w:r>
              <w:rPr>
                <w:rFonts w:hint="eastAsia" w:eastAsia="仿宋_GB2312" w:cs="仿宋_GB2312"/>
                <w:snapToGrid w:val="0"/>
                <w:sz w:val="20"/>
                <w:szCs w:val="20"/>
                <w:lang w:eastAsia="zh-CN"/>
              </w:rPr>
              <w:t>中等职业学校教育由高级中等教育层次的中等职业学校（含技工学校）实施。</w:t>
            </w:r>
            <w:r>
              <w:rPr>
                <w:rFonts w:hint="eastAsia" w:eastAsia="仿宋_GB2312" w:cs="仿宋_GB2312"/>
                <w:snapToGrid w:val="0"/>
                <w:sz w:val="20"/>
                <w:szCs w:val="20"/>
              </w:rPr>
              <w:t>……</w:t>
            </w:r>
          </w:p>
          <w:p w14:paraId="3193BA8C">
            <w:pPr>
              <w:widowControl/>
              <w:adjustRightInd w:val="0"/>
              <w:snapToGrid w:val="0"/>
              <w:spacing w:line="240" w:lineRule="exact"/>
              <w:jc w:val="center"/>
              <w:rPr>
                <w:rFonts w:eastAsia="仿宋_GB2312" w:cs="仿宋_GB2312"/>
                <w:snapToGrid w:val="0"/>
                <w:color w:val="auto"/>
                <w:sz w:val="20"/>
                <w:szCs w:val="20"/>
              </w:rPr>
            </w:pPr>
            <w:r>
              <w:rPr>
                <w:rFonts w:hint="eastAsia" w:eastAsia="仿宋_GB2312" w:cs="仿宋_GB2312"/>
                <w:snapToGrid w:val="0"/>
                <w:sz w:val="20"/>
                <w:szCs w:val="20"/>
              </w:rPr>
              <w:t>第</w:t>
            </w:r>
            <w:r>
              <w:rPr>
                <w:rFonts w:hint="eastAsia" w:eastAsia="仿宋_GB2312" w:cs="仿宋_GB2312"/>
                <w:snapToGrid w:val="0"/>
                <w:sz w:val="20"/>
                <w:szCs w:val="20"/>
                <w:lang w:eastAsia="zh-CN"/>
              </w:rPr>
              <w:t>六十三</w:t>
            </w:r>
            <w:r>
              <w:rPr>
                <w:rFonts w:hint="eastAsia" w:eastAsia="仿宋_GB2312" w:cs="仿宋_GB2312"/>
                <w:snapToGrid w:val="0"/>
                <w:sz w:val="20"/>
                <w:szCs w:val="20"/>
              </w:rPr>
              <w:t>条：</w:t>
            </w:r>
            <w:r>
              <w:rPr>
                <w:rFonts w:hint="eastAsia" w:eastAsia="仿宋_GB2312" w:cs="仿宋_GB2312"/>
                <w:snapToGrid w:val="0"/>
                <w:sz w:val="20"/>
                <w:szCs w:val="20"/>
                <w:lang w:eastAsia="zh-CN"/>
              </w:rPr>
              <w:t>在职业教育活动中违反《中华人民共和国教育法》、《中华人民共和国劳动法》等有关法律规定的，依照有关法律的规定给予处</w:t>
            </w:r>
            <w:r>
              <w:rPr>
                <w:rFonts w:hint="eastAsia" w:eastAsia="仿宋_GB2312" w:cs="仿宋_GB2312"/>
                <w:snapToGrid w:val="0"/>
                <w:color w:val="auto"/>
                <w:sz w:val="20"/>
                <w:szCs w:val="20"/>
                <w:lang w:eastAsia="zh-CN"/>
              </w:rPr>
              <w:t>罚</w:t>
            </w:r>
            <w:r>
              <w:rPr>
                <w:rFonts w:hint="eastAsia" w:eastAsia="仿宋_GB2312" w:cs="仿宋_GB2312"/>
                <w:snapToGrid w:val="0"/>
                <w:color w:val="auto"/>
                <w:sz w:val="20"/>
                <w:szCs w:val="20"/>
              </w:rPr>
              <w:t>。</w:t>
            </w:r>
          </w:p>
          <w:p w14:paraId="51D4946F">
            <w:pPr>
              <w:widowControl/>
              <w:adjustRightInd w:val="0"/>
              <w:snapToGrid w:val="0"/>
              <w:spacing w:line="240" w:lineRule="exact"/>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第六十五条：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31DB13B1">
            <w:pPr>
              <w:widowControl/>
              <w:adjustRightInd w:val="0"/>
              <w:snapToGrid w:val="0"/>
              <w:spacing w:line="240" w:lineRule="exact"/>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第六十六条：</w:t>
            </w:r>
            <w:r>
              <w:rPr>
                <w:rFonts w:hint="eastAsia" w:eastAsia="仿宋_GB2312" w:cs="仿宋_GB2312"/>
                <w:snapToGrid w:val="0"/>
                <w:color w:val="auto"/>
                <w:sz w:val="20"/>
                <w:szCs w:val="20"/>
              </w:rPr>
              <w:t>……</w:t>
            </w:r>
            <w:r>
              <w:rPr>
                <w:rFonts w:hint="eastAsia" w:eastAsia="仿宋_GB2312" w:cs="仿宋_GB2312"/>
                <w:snapToGrid w:val="0"/>
                <w:color w:val="auto"/>
                <w:sz w:val="20"/>
                <w:szCs w:val="20"/>
                <w:lang w:eastAsia="zh-CN"/>
              </w:rPr>
              <w:t>职业学校、职业培训机构违反本法规定，通过人力资源服务机构、劳务派遣单位或者非法从事人力资源服务机构、劳务派遣业务的单位或者个人组织、安排、管理学生实习实训的，由教育行政部门、人力资源社会保障行政部门或者其他有关部门责令改正，没收违法所得，并处违法所得一倍以上五倍以下的罚款；违法所得不足一万元的，按一万元计算。</w:t>
            </w:r>
            <w:r>
              <w:rPr>
                <w:rFonts w:hint="eastAsia" w:eastAsia="仿宋_GB2312" w:cs="仿宋_GB2312"/>
                <w:snapToGrid w:val="0"/>
                <w:color w:val="auto"/>
                <w:sz w:val="20"/>
                <w:szCs w:val="20"/>
              </w:rPr>
              <w:t>……</w:t>
            </w:r>
          </w:p>
          <w:p w14:paraId="2BA700FC">
            <w:r>
              <w:rPr>
                <w:rFonts w:hint="eastAsia" w:ascii="仿宋_GB2312" w:hAnsi="仿宋_GB2312" w:eastAsia="仿宋_GB2312" w:cs="仿宋_GB2312"/>
                <w:snapToGrid w:val="0"/>
                <w:color w:val="auto"/>
                <w:szCs w:val="21"/>
                <w:lang w:eastAsia="zh-CN"/>
              </w:rPr>
              <w:t>第六十八条：境外的组织和个人在境内举办职业学校、职业培训机构，适用本法；法律、行政法规另有规定的，从其规定。</w:t>
            </w:r>
          </w:p>
          <w:p w14:paraId="04F2FCEA">
            <w:pPr>
              <w:widowControl/>
              <w:adjustRightInd w:val="0"/>
              <w:snapToGrid w:val="0"/>
              <w:spacing w:line="240" w:lineRule="exact"/>
              <w:jc w:val="center"/>
              <w:rPr>
                <w:rFonts w:hint="eastAsia" w:ascii="Times New Roman" w:hAnsi="Times New Roman" w:eastAsia="仿宋_GB2312" w:cs="仿宋_GB2312"/>
                <w:snapToGrid w:val="0"/>
                <w:color w:val="auto"/>
                <w:kern w:val="2"/>
                <w:sz w:val="20"/>
                <w:szCs w:val="20"/>
                <w:highlight w:val="none"/>
                <w:lang w:val="en-US" w:eastAsia="zh-CN" w:bidi="ar-SA"/>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81E4">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1.立案责任：一次性告知补正材料；接到投诉之日起5个工作日内依法决定是否受理，并于受理之日立案查处，不予受理应当告知理由。</w:t>
            </w:r>
          </w:p>
          <w:p w14:paraId="1501C427">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2.调查责任：案件调查自立案之日起60个工作日内完成；情况复杂的，经本级劳动保障行政部门负责人批准，可延长30个工作日。</w:t>
            </w:r>
          </w:p>
          <w:p w14:paraId="40191D7B">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3.告知责任：作出行政处罚或者行政处理决定前，应当听取用人单位的陈述、申辩，应当告知用人单位依法享有申请行政复议或者提起行政诉讼的权利。</w:t>
            </w:r>
          </w:p>
          <w:p w14:paraId="68419E67">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4.决定责任：立案调查完成，应在15个工作日内作出责令改正、行政处罚（行政处理）或者撤销立案决定；特殊情况，经本级劳动保障行政部门负责人批准可以延长。</w:t>
            </w:r>
          </w:p>
          <w:p w14:paraId="5D5B6A7A">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14:paraId="0DA01A75">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6.执行责任：当事人对行政处理决定逾期不履行的，劳动保障行政部门可申请人民法院强制执行。</w:t>
            </w:r>
          </w:p>
          <w:p w14:paraId="3388DBF0">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7.监督责任：案件结案后应建立档案，档案资料应当至少保存三年。在法律法规允许的范围内公示执法结果。</w:t>
            </w:r>
          </w:p>
          <w:p w14:paraId="5D4096E3">
            <w:pPr>
              <w:widowControl/>
              <w:adjustRightInd/>
              <w:snapToGrid/>
              <w:spacing w:line="240" w:lineRule="auto"/>
              <w:jc w:val="left"/>
              <w:rPr>
                <w:rFonts w:hint="eastAsia" w:ascii="Times New Roman" w:hAnsi="Times New Roman" w:eastAsia="仿宋_GB2312" w:cs="仿宋_GB2312"/>
                <w:snapToGrid w:val="0"/>
                <w:color w:val="auto"/>
                <w:kern w:val="2"/>
                <w:sz w:val="20"/>
                <w:szCs w:val="20"/>
                <w:highlight w:val="none"/>
                <w:lang w:val="en-US" w:eastAsia="zh-CN" w:bidi="ar-SA"/>
              </w:rPr>
            </w:pPr>
            <w:r>
              <w:rPr>
                <w:rFonts w:hint="eastAsia" w:eastAsia="仿宋_GB2312" w:cs="仿宋_GB2312"/>
                <w:snapToGrid w:val="0"/>
                <w:color w:val="auto"/>
                <w:sz w:val="20"/>
                <w:szCs w:val="20"/>
              </w:rPr>
              <w:t>8.法律法规规章文件规定的其他应履行的责任。</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4A23">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14:paraId="1B13DDFB">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14:paraId="3389BAAD">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60E5F97A">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14:paraId="13D62F4B">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14:paraId="47FF41EF">
            <w:pPr>
              <w:widowControl/>
              <w:adjustRightInd/>
              <w:snapToGrid/>
              <w:spacing w:line="240" w:lineRule="auto"/>
              <w:jc w:val="left"/>
              <w:rPr>
                <w:rFonts w:eastAsia="仿宋_GB2312" w:cs="仿宋_GB2312"/>
                <w:snapToGrid w:val="0"/>
                <w:color w:val="auto"/>
                <w:sz w:val="20"/>
                <w:szCs w:val="20"/>
              </w:rPr>
            </w:pPr>
            <w:r>
              <w:rPr>
                <w:rFonts w:hint="eastAsia" w:eastAsia="仿宋_GB2312" w:cs="仿宋_GB2312"/>
                <w:snapToGrid w:val="0"/>
                <w:color w:val="auto"/>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14:paraId="089C3A7A">
            <w:pPr>
              <w:widowControl/>
              <w:adjustRightInd/>
              <w:snapToGrid/>
              <w:spacing w:line="240" w:lineRule="auto"/>
              <w:jc w:val="left"/>
              <w:rPr>
                <w:rFonts w:hint="eastAsia" w:ascii="Times New Roman" w:hAnsi="Times New Roman" w:eastAsia="仿宋_GB2312" w:cs="仿宋_GB2312"/>
                <w:snapToGrid w:val="0"/>
                <w:color w:val="auto"/>
                <w:kern w:val="2"/>
                <w:sz w:val="20"/>
                <w:szCs w:val="20"/>
                <w:highlight w:val="none"/>
                <w:lang w:val="en-US" w:eastAsia="zh-CN" w:bidi="ar-SA"/>
              </w:rPr>
            </w:pPr>
            <w:r>
              <w:rPr>
                <w:rFonts w:hint="eastAsia" w:eastAsia="仿宋_GB2312" w:cs="仿宋_GB2312"/>
                <w:snapToGrid w:val="0"/>
                <w:color w:val="auto"/>
                <w:sz w:val="20"/>
                <w:szCs w:val="20"/>
              </w:rPr>
              <w:t>7.【部门规章】《关于实施〈劳动保障监察条例〉若干规定》（2004年劳动保障部令第25号公布）第四十条：劳动保障监察案件结案后应建立档案。档案资料应当至少保存三年。</w:t>
            </w:r>
          </w:p>
        </w:tc>
      </w:tr>
      <w:tr w14:paraId="35BF2753">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B596EB1">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70</w:t>
            </w:r>
          </w:p>
        </w:tc>
        <w:tc>
          <w:tcPr>
            <w:tcW w:w="585" w:type="dxa"/>
            <w:tcBorders>
              <w:top w:val="single" w:color="auto" w:sz="4" w:space="0"/>
              <w:left w:val="nil"/>
              <w:bottom w:val="single" w:color="auto" w:sz="4" w:space="0"/>
              <w:right w:val="single" w:color="auto" w:sz="4" w:space="0"/>
            </w:tcBorders>
            <w:vAlign w:val="center"/>
          </w:tcPr>
          <w:p w14:paraId="151870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行政强制</w:t>
            </w:r>
          </w:p>
          <w:p w14:paraId="3D8F4499">
            <w:pPr>
              <w:widowControl/>
              <w:adjustRightInd w:val="0"/>
              <w:snapToGrid w:val="0"/>
              <w:spacing w:line="300" w:lineRule="exact"/>
              <w:jc w:val="center"/>
              <w:rPr>
                <w:rFonts w:eastAsia="仿宋_GB2312" w:cs="仿宋_GB2312"/>
                <w:snapToGrid w:val="0"/>
                <w:sz w:val="20"/>
                <w:szCs w:val="20"/>
              </w:rPr>
            </w:pPr>
          </w:p>
        </w:tc>
        <w:tc>
          <w:tcPr>
            <w:tcW w:w="1243" w:type="dxa"/>
            <w:tcBorders>
              <w:top w:val="single" w:color="auto" w:sz="4" w:space="0"/>
              <w:left w:val="nil"/>
              <w:bottom w:val="single" w:color="auto" w:sz="4" w:space="0"/>
              <w:right w:val="single" w:color="auto" w:sz="4" w:space="0"/>
            </w:tcBorders>
            <w:vAlign w:val="center"/>
          </w:tcPr>
          <w:p w14:paraId="7F22580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对可能被转移、隐匿或者灭失的资料予以封存</w:t>
            </w:r>
          </w:p>
        </w:tc>
        <w:tc>
          <w:tcPr>
            <w:tcW w:w="1522" w:type="dxa"/>
            <w:tcBorders>
              <w:top w:val="single" w:color="auto" w:sz="4" w:space="0"/>
              <w:left w:val="nil"/>
              <w:bottom w:val="single" w:color="auto" w:sz="4" w:space="0"/>
              <w:right w:val="single" w:color="auto" w:sz="4" w:space="0"/>
            </w:tcBorders>
            <w:vAlign w:val="center"/>
          </w:tcPr>
          <w:p w14:paraId="35DB4D4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02915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3987D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【法律】《中华人民共和国社会保险法》（2010年10月28日通过，2018年12月29日修正）第七十九条：……社会保险行政部门对社会保险基金实施监督检查，有权采取下列措施：</w:t>
            </w:r>
          </w:p>
          <w:p w14:paraId="0E2DC8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（一）查阅、记录、复制与社会保险基金收支、管理和投资运营相关的资料，对可能被转移、隐匿或者灭失的资料予以封存；</w:t>
            </w:r>
          </w:p>
          <w:p w14:paraId="7EC72D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（二）询问与调查事项有关的单位和个人，要求其对与调查事项有关的问题作出说明、提供有关证明材料；</w:t>
            </w:r>
          </w:p>
          <w:p w14:paraId="2F2009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（三）对隐匿、转移、侵占、挪用社会保险基金的行为予以制止并责令改正。</w:t>
            </w:r>
          </w:p>
        </w:tc>
        <w:tc>
          <w:tcPr>
            <w:tcW w:w="4513" w:type="dxa"/>
            <w:tcBorders>
              <w:top w:val="single" w:color="000000" w:sz="4" w:space="0"/>
              <w:left w:val="nil"/>
              <w:bottom w:val="single" w:color="auto" w:sz="4" w:space="0"/>
              <w:right w:val="single" w:color="auto" w:sz="4" w:space="0"/>
            </w:tcBorders>
            <w:vAlign w:val="center"/>
          </w:tcPr>
          <w:p w14:paraId="20F40C2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1.催告责任：实施资料封存应通知当事人到场和告知当事人实施强制的理由、依据及依法享有的权利、救济途径；</w:t>
            </w:r>
          </w:p>
          <w:p w14:paraId="2519E2F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2.决定责任：行政机关决定实施查封、扣押的，应当履行</w:t>
            </w:r>
            <w:r>
              <w:rPr>
                <w:rFonts w:hint="eastAsia" w:ascii="仿宋_GB2312" w:hAnsi="宋体" w:eastAsia="仿宋_GB2312" w:cs="宋体"/>
                <w:snapToGrid w:val="0"/>
                <w:szCs w:val="21"/>
              </w:rPr>
              <w:t>《中华人民共和国行政强制法》</w:t>
            </w:r>
            <w:r>
              <w:rPr>
                <w:rFonts w:hint="eastAsia" w:eastAsia="仿宋_GB2312" w:cs="仿宋_GB2312"/>
                <w:snapToGrid w:val="0"/>
                <w:sz w:val="20"/>
                <w:szCs w:val="20"/>
              </w:rPr>
              <w:t>第十八条规定的程序，制作并当场交付查封、扣押决定书和清单；</w:t>
            </w:r>
          </w:p>
          <w:p w14:paraId="3468E7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3.执行责任：行政机关采取查封、扣押措施后，应当及时查清事实，并在法定期限内作出处理决定；</w:t>
            </w:r>
          </w:p>
          <w:p w14:paraId="50FC775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4.监管责任：对已作出资料查封决定的处理进行监督检查，以确保下级查封机关及工作人员依法履职；</w:t>
            </w:r>
          </w:p>
          <w:p w14:paraId="74757C1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5.法律法规规章文件规定的其他应履行的责任。</w:t>
            </w:r>
          </w:p>
        </w:tc>
        <w:tc>
          <w:tcPr>
            <w:tcW w:w="6315" w:type="dxa"/>
            <w:tcBorders>
              <w:top w:val="single" w:color="000000" w:sz="4" w:space="0"/>
              <w:left w:val="nil"/>
              <w:bottom w:val="single" w:color="auto" w:sz="4" w:space="0"/>
              <w:right w:val="single" w:color="auto" w:sz="4" w:space="0"/>
            </w:tcBorders>
            <w:vAlign w:val="center"/>
          </w:tcPr>
          <w:p w14:paraId="0FE0707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行政强制法》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14:paraId="31C870E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强制法》第十九条：情况紧急，需要当场实施行政强制措施的，行政执法人员应当在二十四小时内向行政机关负责人报告，并补办批准手续。行政机关负责人认为不应当采取行政强制措施的，应当立即解除。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三十六条　当事人收到催告书后有权进行陈述和申辩。行政机关应当充分听取当事人的意见，对当事人提出的事实、理由和证据，应当进行记录、复核。当事人提出的事实、理由或者证据成立的，行政机关应当采纳。</w:t>
            </w:r>
          </w:p>
          <w:p w14:paraId="667D032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14:paraId="76D461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4.【部门规章】《社会保险基金行政监督办法》（2022年人力资源社会保障部令第48号公布）第二十四条：人力资源社会保障行政部门对监督发现的问题，采取以下处理措施：</w:t>
            </w:r>
          </w:p>
          <w:p w14:paraId="01D139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w:t>
            </w:r>
            <w:r>
              <w:rPr>
                <w:rFonts w:eastAsia="仿宋_GB2312" w:cs="仿宋_GB2312"/>
                <w:snapToGrid w:val="0"/>
                <w:sz w:val="20"/>
                <w:szCs w:val="20"/>
              </w:rPr>
              <w:t>改；</w:t>
            </w:r>
          </w:p>
          <w:p w14:paraId="6AB32C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14:paraId="18DDF6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tc>
      </w:tr>
      <w:tr w14:paraId="7BF2CB04">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4D9BE0C">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71</w:t>
            </w:r>
          </w:p>
        </w:tc>
        <w:tc>
          <w:tcPr>
            <w:tcW w:w="585" w:type="dxa"/>
            <w:tcBorders>
              <w:top w:val="single" w:color="auto" w:sz="4" w:space="0"/>
              <w:left w:val="nil"/>
              <w:bottom w:val="single" w:color="auto" w:sz="4" w:space="0"/>
              <w:right w:val="single" w:color="auto" w:sz="4" w:space="0"/>
            </w:tcBorders>
            <w:vAlign w:val="center"/>
          </w:tcPr>
          <w:p w14:paraId="291EBAA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48F6E1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对用人单位和个人遵守社会保险法律、法规情况的监督检查</w:t>
            </w:r>
          </w:p>
        </w:tc>
        <w:tc>
          <w:tcPr>
            <w:tcW w:w="1522" w:type="dxa"/>
            <w:tcBorders>
              <w:top w:val="single" w:color="auto" w:sz="4" w:space="0"/>
              <w:left w:val="nil"/>
              <w:bottom w:val="single" w:color="auto" w:sz="4" w:space="0"/>
              <w:right w:val="single" w:color="auto" w:sz="4" w:space="0"/>
            </w:tcBorders>
            <w:vAlign w:val="center"/>
          </w:tcPr>
          <w:p w14:paraId="63828F4D">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74042F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1EEDFDB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1.【法律】《中华人民共和国社会保险法》（2010年10月28日通过，2018年12月29日修正）第七十七条：县级以上人民政府社会保险行政部门应当加强对用人单位和个人遵守社会保险法律、法规情况的监督检查。……</w:t>
            </w:r>
          </w:p>
          <w:p w14:paraId="5B0502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2.【法律】《中华人民共和国军人保险法》（2012年4月27日主席令第56号）第四十二条：军队后勤（联勤）机关、地方社会保险行政部门，应当对单位和个人遵守本法的情况进行监督检查。……</w:t>
            </w:r>
          </w:p>
          <w:p w14:paraId="5C3941C3">
            <w:pPr>
              <w:widowControl/>
              <w:adjustRightInd w:val="0"/>
              <w:snapToGrid w:val="0"/>
              <w:spacing w:line="300" w:lineRule="exact"/>
              <w:jc w:val="center"/>
              <w:rPr>
                <w:rFonts w:eastAsia="仿宋_GB2312" w:cs="仿宋_GB2312"/>
                <w:snapToGrid w:val="0"/>
                <w:sz w:val="20"/>
                <w:szCs w:val="20"/>
              </w:rPr>
            </w:pPr>
          </w:p>
        </w:tc>
        <w:tc>
          <w:tcPr>
            <w:tcW w:w="4513" w:type="dxa"/>
            <w:tcBorders>
              <w:top w:val="single" w:color="auto" w:sz="4" w:space="0"/>
              <w:left w:val="nil"/>
              <w:bottom w:val="single" w:color="auto" w:sz="4" w:space="0"/>
              <w:right w:val="single" w:color="auto" w:sz="4" w:space="0"/>
            </w:tcBorders>
            <w:vAlign w:val="center"/>
          </w:tcPr>
          <w:p w14:paraId="506C77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57858E5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667108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35B019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70E4DF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1.【部门规章】《社会保险基金行政监督办法》（2022年人力资源社会保障部令第48号公布）第二十二条：人力资源社会保障行政部门实施现场检查，依照下列程序进行：</w:t>
            </w:r>
          </w:p>
          <w:p w14:paraId="0CB7D19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（一）根据年度检查计划和工作需要确定检查项目及检查内容，制定检查方案，并在实施检查3个工作日前通知被监督单位；提前通知可能影响检查结果的，可以现场下达检查通知；</w:t>
            </w:r>
          </w:p>
          <w:p w14:paraId="2408516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2-1.【部门规章】《社会保险基金行政监督办法》（2022年人力资源社会保障部令第48号公布）第二十二条：人力资源社会保障行政部门实施现场检查，依照下列程序进行：</w:t>
            </w:r>
          </w:p>
          <w:p w14:paraId="3705638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……（二）检查被监督单位社会保险基金相关凭证账簿，查阅与监督事项有关的文件、资料、档案、数据，向被监督单位和有关个人调查取证，听取被监督单位有关社会保险基金收支、管理使用情况的汇报……</w:t>
            </w:r>
          </w:p>
          <w:p w14:paraId="3B5573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规范性文件】《劳动和社会保障部关于印发〈社会保障基金现场监督规则〉的通知》（劳社部发〔2003〕5号）第十三条：监督人员应记录检查发现的重要事项，编制现场监督工作底稿。现场监督工作底稿应一事一稿，并附有关检查证据。现场监督工作底稿经检查组审定后，送被监督单位相关人员签署意见……</w:t>
            </w:r>
          </w:p>
          <w:p w14:paraId="4E458A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-1.【部门规章】《社会保险基金行政监督办法》（2022年人力资源社会保障部令第48号公布）第二十二条：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w:t>
            </w:r>
          </w:p>
          <w:p w14:paraId="5399D2E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第二十四条  人力资源社会保障行政部门对监督发现的问题，采取以下处理措施：</w:t>
            </w:r>
          </w:p>
          <w:p w14:paraId="3777051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（一）对社会保险基金收支、管理存在问题的，依法提出整改意见，采取约谈、函询、通报等手段督促整改；</w:t>
            </w:r>
          </w:p>
          <w:p w14:paraId="15F8B9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14:paraId="490E825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p w14:paraId="6EEC677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-2.【规范性文件】《劳动和社会保障部关于印发〈社会保障基金现场监督规则〉的通知》（劳社部发〔2003〕5号）第十九条：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14:paraId="2D294B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条：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14:paraId="1E2F1D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第二十一条：被监督单位接到处理意见书后应按要求进行整改，并将处理和整改结果报基金监督机构。基金监督机构应检查处理意见的执行情况。</w:t>
            </w:r>
          </w:p>
          <w:p w14:paraId="68DA9E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第二十二条：现场监督结束后，检查组应做好检查材料的整理归档工作，并及时移交基金监督机构。基金监督机构要做好后续资料的收集归档工作，妥善保管归档材料。归档主要包括下列资料：……</w:t>
            </w:r>
          </w:p>
        </w:tc>
      </w:tr>
      <w:tr w14:paraId="6A2FD964">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748B696">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72</w:t>
            </w:r>
          </w:p>
        </w:tc>
        <w:tc>
          <w:tcPr>
            <w:tcW w:w="585" w:type="dxa"/>
            <w:tcBorders>
              <w:top w:val="single" w:color="auto" w:sz="4" w:space="0"/>
              <w:left w:val="nil"/>
              <w:bottom w:val="single" w:color="auto" w:sz="4" w:space="0"/>
              <w:right w:val="single" w:color="auto" w:sz="4" w:space="0"/>
            </w:tcBorders>
            <w:vAlign w:val="center"/>
          </w:tcPr>
          <w:p w14:paraId="0593C41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63CA74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对社会保险基金的收支、管理和投资运营情况的监督检查</w:t>
            </w:r>
          </w:p>
        </w:tc>
        <w:tc>
          <w:tcPr>
            <w:tcW w:w="1522" w:type="dxa"/>
            <w:tcBorders>
              <w:top w:val="single" w:color="auto" w:sz="4" w:space="0"/>
              <w:left w:val="nil"/>
              <w:bottom w:val="single" w:color="auto" w:sz="4" w:space="0"/>
              <w:right w:val="single" w:color="auto" w:sz="4" w:space="0"/>
            </w:tcBorders>
            <w:vAlign w:val="center"/>
          </w:tcPr>
          <w:p w14:paraId="29E1C101">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5397F2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620CC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1.【法律】《中华人民共和国劳动法》（1994年7月5日主席令第28号，2018年12月29日第二次修正）第七十四条第二款：社会保险基金监督机构依照法律规定，对社会保险基金的收支、管理和运营实施监督。</w:t>
            </w:r>
          </w:p>
          <w:p w14:paraId="76EBBFB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社会保险法》（2010年10月28日通过，2018年12月29日修正）第七十九条第一款：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14:paraId="5BF02A9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3.【行政法规】《失业保险条例》（1999年国务院令第258号发布）第二十四条：劳动保障行政部门管理失业保险工作，履行下列职责：（三）对失业保险费的征收和失业保险待遇的支付进行监督检查。</w:t>
            </w:r>
          </w:p>
          <w:p w14:paraId="5887CED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4.【行政法规】《工伤保险条例》（2003年4月27日国务院令第375号公布，2010年12月20日修订）第五十一条第一款：社会保险行政部门依法对工伤保险费的征缴和工伤保险基金的支付情况进行监督检查。</w:t>
            </w:r>
          </w:p>
          <w:p w14:paraId="7ACDAB8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部门规章】《社会保险基金行政监督办法》（2022年人力资源社会保障部令第48号公布）第二条：本办法所称社会保险基金行政监督，是指人力资源社会保障行政部门对基本养老保险基金、工伤保险基金、失业保险基金等人力资源社会保障部门管理的社会保险基金收支、管理情况进行的监督。</w:t>
            </w:r>
          </w:p>
          <w:p w14:paraId="06F5D4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条：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tc>
        <w:tc>
          <w:tcPr>
            <w:tcW w:w="4513" w:type="dxa"/>
            <w:tcBorders>
              <w:top w:val="single" w:color="auto" w:sz="4" w:space="0"/>
              <w:left w:val="nil"/>
              <w:bottom w:val="single" w:color="auto" w:sz="4" w:space="0"/>
              <w:right w:val="single" w:color="auto" w:sz="4" w:space="0"/>
            </w:tcBorders>
            <w:vAlign w:val="center"/>
          </w:tcPr>
          <w:p w14:paraId="33CEB5D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152A970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618ABF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02FE23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27CA883">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p>
          <w:p w14:paraId="464475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（一）根据年度检查计划和工作需要确定检查项目及检查内容，制定检查方案，并在实施检查</w:t>
            </w:r>
            <w:r>
              <w:rPr>
                <w:rFonts w:eastAsia="仿宋_GB2312" w:cs="仿宋_GB2312"/>
                <w:snapToGrid w:val="0"/>
                <w:sz w:val="20"/>
                <w:szCs w:val="20"/>
              </w:rPr>
              <w:t>3</w:t>
            </w:r>
            <w:r>
              <w:rPr>
                <w:rFonts w:hint="eastAsia" w:eastAsia="仿宋_GB2312" w:cs="仿宋_GB2312"/>
                <w:snapToGrid w:val="0"/>
                <w:sz w:val="20"/>
                <w:szCs w:val="20"/>
              </w:rPr>
              <w:t>个工作日前通知被监督单位；提前通知可能影响检查结果的，可以现场下达检查通知；</w:t>
            </w:r>
          </w:p>
          <w:p w14:paraId="51BF1213">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2-1.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p>
          <w:p w14:paraId="0EA8A9CB">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w:t>
            </w:r>
            <w:r>
              <w:rPr>
                <w:rFonts w:hint="eastAsia" w:eastAsia="仿宋_GB2312" w:cs="仿宋_GB2312"/>
                <w:snapToGrid w:val="0"/>
                <w:sz w:val="20"/>
                <w:szCs w:val="20"/>
              </w:rPr>
              <w:t>（二）检查被监督单位社会保险基金相关凭证账簿，查阅与监督事项有关的文件、资料、档案、数据，向被监督单位和有关个人调查取证，听取被监督单位有关社会保险基金收支、管理使用情况的汇报</w:t>
            </w:r>
            <w:r>
              <w:rPr>
                <w:rFonts w:eastAsia="仿宋_GB2312" w:cs="仿宋_GB2312"/>
                <w:snapToGrid w:val="0"/>
                <w:sz w:val="20"/>
                <w:szCs w:val="20"/>
              </w:rPr>
              <w:t>……</w:t>
            </w:r>
          </w:p>
          <w:p w14:paraId="2B0BE987">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2-2.</w:t>
            </w:r>
            <w:r>
              <w:rPr>
                <w:rFonts w:hint="eastAsia" w:eastAsia="仿宋_GB2312" w:cs="仿宋_GB2312"/>
                <w:snapToGrid w:val="0"/>
                <w:sz w:val="20"/>
                <w:szCs w:val="20"/>
              </w:rPr>
              <w:t>【规范性文件】《劳动和社会保障部关于印发〈社会保障基金现场监督规则〉的通知》（劳社部发〔</w:t>
            </w:r>
            <w:r>
              <w:rPr>
                <w:rFonts w:eastAsia="仿宋_GB2312" w:cs="仿宋_GB2312"/>
                <w:snapToGrid w:val="0"/>
                <w:sz w:val="20"/>
                <w:szCs w:val="20"/>
              </w:rPr>
              <w:t>2003</w:t>
            </w:r>
            <w:r>
              <w:rPr>
                <w:rFonts w:hint="eastAsia" w:eastAsia="仿宋_GB2312" w:cs="仿宋_GB2312"/>
                <w:snapToGrid w:val="0"/>
                <w:sz w:val="20"/>
                <w:szCs w:val="20"/>
              </w:rPr>
              <w:t>〕</w:t>
            </w:r>
            <w:r>
              <w:rPr>
                <w:rFonts w:eastAsia="仿宋_GB2312" w:cs="仿宋_GB2312"/>
                <w:snapToGrid w:val="0"/>
                <w:sz w:val="20"/>
                <w:szCs w:val="20"/>
              </w:rPr>
              <w:t>5</w:t>
            </w:r>
            <w:r>
              <w:rPr>
                <w:rFonts w:hint="eastAsia" w:eastAsia="仿宋_GB2312" w:cs="仿宋_GB2312"/>
                <w:snapToGrid w:val="0"/>
                <w:sz w:val="20"/>
                <w:szCs w:val="20"/>
              </w:rPr>
              <w:t>号）第十三条：监督人员应记录检查发现的重要事项，编制现场监督工作底稿。现场监督工作底稿应一事一稿，并附有关检查证据。现场监督工作底稿经检查组审定后，送被监督单位相关人员签署意见……</w:t>
            </w:r>
          </w:p>
          <w:p w14:paraId="7659D410">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r>
              <w:rPr>
                <w:rFonts w:eastAsia="仿宋_GB2312" w:cs="仿宋_GB2312"/>
                <w:snapToGrid w:val="0"/>
                <w:sz w:val="20"/>
                <w:szCs w:val="20"/>
              </w:rPr>
              <w:t>……</w:t>
            </w:r>
            <w:r>
              <w:rPr>
                <w:rFonts w:hint="eastAsia" w:eastAsia="仿宋_GB2312" w:cs="仿宋_GB2312"/>
                <w:snapToGrid w:val="0"/>
                <w:sz w:val="20"/>
                <w:szCs w:val="20"/>
              </w:rPr>
              <w:t>（三）根据检查结果，形成检查报告，并送被监督单位征求意见。被监督单位如有异议，应当在接到检查报告</w:t>
            </w:r>
            <w:r>
              <w:rPr>
                <w:rFonts w:eastAsia="仿宋_GB2312" w:cs="仿宋_GB2312"/>
                <w:snapToGrid w:val="0"/>
                <w:sz w:val="20"/>
                <w:szCs w:val="20"/>
              </w:rPr>
              <w:t>10</w:t>
            </w:r>
            <w:r>
              <w:rPr>
                <w:rFonts w:hint="eastAsia" w:eastAsia="仿宋_GB2312" w:cs="仿宋_GB2312"/>
                <w:snapToGrid w:val="0"/>
                <w:sz w:val="20"/>
                <w:szCs w:val="20"/>
              </w:rPr>
              <w:t>个工作日内提出书面意见。逾期未提出书面意见的，视同无异议。第二十四条</w:t>
            </w:r>
            <w:r>
              <w:rPr>
                <w:rFonts w:eastAsia="仿宋_GB2312" w:cs="仿宋_GB2312"/>
                <w:snapToGrid w:val="0"/>
                <w:sz w:val="20"/>
                <w:szCs w:val="20"/>
              </w:rPr>
              <w:t xml:space="preserve">  </w:t>
            </w:r>
            <w:r>
              <w:rPr>
                <w:rFonts w:hint="eastAsia" w:eastAsia="仿宋_GB2312" w:cs="仿宋_GB2312"/>
                <w:snapToGrid w:val="0"/>
                <w:sz w:val="20"/>
                <w:szCs w:val="20"/>
              </w:rPr>
              <w:t>人力资源社会保障行政部门对监督发现的问题，采取以下处理措施：</w:t>
            </w:r>
          </w:p>
          <w:p w14:paraId="17CA1D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（一）对社会保险基金收支、管理存在问题的，依法提出整改意见，采取约谈、函询、通报等手段督促整改；</w:t>
            </w:r>
          </w:p>
          <w:p w14:paraId="0C666C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14:paraId="4CF2232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p w14:paraId="6A6B95E5">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3-2.</w:t>
            </w:r>
            <w:r>
              <w:rPr>
                <w:rFonts w:hint="eastAsia" w:eastAsia="仿宋_GB2312" w:cs="仿宋_GB2312"/>
                <w:snapToGrid w:val="0"/>
                <w:sz w:val="20"/>
                <w:szCs w:val="20"/>
              </w:rPr>
              <w:t>【规范性文件】《劳动和社会保障部关于印发〈社会保障基金现场监督规则〉的通知》（劳社部发〔</w:t>
            </w:r>
            <w:r>
              <w:rPr>
                <w:rFonts w:eastAsia="仿宋_GB2312" w:cs="仿宋_GB2312"/>
                <w:snapToGrid w:val="0"/>
                <w:sz w:val="20"/>
                <w:szCs w:val="20"/>
              </w:rPr>
              <w:t>2003</w:t>
            </w:r>
            <w:r>
              <w:rPr>
                <w:rFonts w:hint="eastAsia" w:eastAsia="仿宋_GB2312" w:cs="仿宋_GB2312"/>
                <w:snapToGrid w:val="0"/>
                <w:sz w:val="20"/>
                <w:szCs w:val="20"/>
              </w:rPr>
              <w:t>〕</w:t>
            </w:r>
            <w:r>
              <w:rPr>
                <w:rFonts w:eastAsia="仿宋_GB2312" w:cs="仿宋_GB2312"/>
                <w:snapToGrid w:val="0"/>
                <w:sz w:val="20"/>
                <w:szCs w:val="20"/>
              </w:rPr>
              <w:t>5</w:t>
            </w:r>
            <w:r>
              <w:rPr>
                <w:rFonts w:hint="eastAsia" w:eastAsia="仿宋_GB2312" w:cs="仿宋_GB2312"/>
                <w:snapToGrid w:val="0"/>
                <w:sz w:val="20"/>
                <w:szCs w:val="20"/>
              </w:rPr>
              <w:t>号）第十九条：基金监督机构对检查组提交的报告应予以审核。审核主要包括下列内容：（一）检查的有关事项是否清楚；（二）检查证据是否充分、合法、具有说服力；</w:t>
            </w:r>
            <w:r>
              <w:rPr>
                <w:rFonts w:eastAsia="仿宋_GB2312" w:cs="仿宋_GB2312"/>
                <w:snapToGrid w:val="0"/>
                <w:sz w:val="20"/>
                <w:szCs w:val="20"/>
              </w:rPr>
              <w:t xml:space="preserve"> </w:t>
            </w:r>
            <w:r>
              <w:rPr>
                <w:rFonts w:hint="eastAsia" w:eastAsia="仿宋_GB2312" w:cs="仿宋_GB2312"/>
                <w:snapToGrid w:val="0"/>
                <w:sz w:val="20"/>
                <w:szCs w:val="20"/>
              </w:rPr>
              <w:t>（三）检查程序是否符合有关规定。</w:t>
            </w:r>
            <w:r>
              <w:rPr>
                <w:rFonts w:eastAsia="仿宋_GB2312" w:cs="仿宋_GB2312"/>
                <w:snapToGrid w:val="0"/>
                <w:sz w:val="20"/>
                <w:szCs w:val="20"/>
              </w:rPr>
              <w:t xml:space="preserve"> </w:t>
            </w:r>
            <w:r>
              <w:rPr>
                <w:rFonts w:hint="eastAsia" w:eastAsia="仿宋_GB2312" w:cs="仿宋_GB2312"/>
                <w:snapToGrid w:val="0"/>
                <w:sz w:val="20"/>
                <w:szCs w:val="20"/>
              </w:rPr>
              <w:t>对事实不清、证据不足的现场监督报告，基金监督机构应责成检查组长说明情况或核实，也可另行调查取证核实。</w:t>
            </w:r>
          </w:p>
          <w:p w14:paraId="4365016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第二十条</w:t>
            </w:r>
            <w:r>
              <w:rPr>
                <w:rFonts w:eastAsia="仿宋_GB2312" w:cs="仿宋_GB2312"/>
                <w:snapToGrid w:val="0"/>
                <w:sz w:val="20"/>
                <w:szCs w:val="20"/>
              </w:rPr>
              <w:t xml:space="preserve"> </w:t>
            </w:r>
            <w:r>
              <w:rPr>
                <w:rFonts w:hint="eastAsia" w:eastAsia="仿宋_GB2312" w:cs="仿宋_GB2312"/>
                <w:snapToGrid w:val="0"/>
                <w:sz w:val="20"/>
                <w:szCs w:val="20"/>
              </w:rPr>
              <w:t>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14:paraId="5D4A28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第二十一条：被监督单位接到处理意见书后应按要求进行整改，并将处理和整改结果报基金监督机构。基金监督机构应检查处理意见的执行情况。</w:t>
            </w:r>
          </w:p>
          <w:p w14:paraId="12156A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第二十二条：现场监督结束后，检查组应做好检查材料的整理归档工作，并及时移交基金监督机构。基金监督机构要做好后续资料的收集归档工作，妥善保管归档材料。归档主要包括下列资料：……</w:t>
            </w:r>
          </w:p>
        </w:tc>
      </w:tr>
      <w:tr w14:paraId="684C0A04">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CEE4DB2">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73</w:t>
            </w:r>
          </w:p>
        </w:tc>
        <w:tc>
          <w:tcPr>
            <w:tcW w:w="585" w:type="dxa"/>
            <w:tcBorders>
              <w:top w:val="single" w:color="auto" w:sz="4" w:space="0"/>
              <w:left w:val="nil"/>
              <w:bottom w:val="single" w:color="auto" w:sz="4" w:space="0"/>
              <w:right w:val="single" w:color="auto" w:sz="4" w:space="0"/>
            </w:tcBorders>
            <w:vAlign w:val="center"/>
          </w:tcPr>
          <w:p w14:paraId="61B879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0BB235B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对用人单位遵守劳动法律、法规的情况的监督检查</w:t>
            </w:r>
          </w:p>
        </w:tc>
        <w:tc>
          <w:tcPr>
            <w:tcW w:w="1522" w:type="dxa"/>
            <w:tcBorders>
              <w:top w:val="single" w:color="auto" w:sz="4" w:space="0"/>
              <w:left w:val="nil"/>
              <w:bottom w:val="single" w:color="auto" w:sz="4" w:space="0"/>
              <w:right w:val="single" w:color="auto" w:sz="4" w:space="0"/>
            </w:tcBorders>
            <w:vAlign w:val="center"/>
          </w:tcPr>
          <w:p w14:paraId="7935891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657AE9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85A88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14:paraId="794BA9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2.【行政法规】《劳动保障监察条例》（2004年11月1日国务院令第423号）第十条：劳动保障行政部门实施劳动保障监察，履行下列职责：（二）检查用人单位遵守劳动保障法律、法规和规章的情况……。</w:t>
            </w:r>
          </w:p>
          <w:p w14:paraId="18A53E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3.【行政法规】《禁止使用童工规定》（2002年10月1日国务院令第364号）第五条：县级以上各级人民政府劳动保障行政部门负责本规定执行情况的监督检查。……</w:t>
            </w:r>
          </w:p>
          <w:p w14:paraId="3043C8D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行政法规】《女职工劳动保护特别规定》（2012年4月28日国务院令第619号）第十二条：县级以上人民政府人力资源社会保障行政部门、安全生产监督管理部门按照各自职责负责对用人单位遵守本规定的情况进行监督检查。</w:t>
            </w:r>
          </w:p>
          <w:p w14:paraId="3E3F524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w:t>
            </w:r>
            <w:r>
              <w:rPr>
                <w:rFonts w:hint="eastAsia" w:ascii="仿宋_GB2312" w:hAnsi="宋体" w:eastAsia="仿宋_GB2312" w:cs="宋体"/>
                <w:snapToGrid w:val="0"/>
                <w:szCs w:val="21"/>
              </w:rPr>
              <w:t>【部门规章】</w:t>
            </w:r>
            <w:r>
              <w:rPr>
                <w:rFonts w:hint="eastAsia" w:eastAsia="仿宋_GB2312" w:cs="仿宋_GB2312"/>
                <w:snapToGrid w:val="0"/>
                <w:sz w:val="20"/>
                <w:szCs w:val="20"/>
              </w:rPr>
              <w:t>《未成年工特别保护规定》（1994年12月9日劳部发〔1994〕498号公布）第十一条第一款：县级以上劳动行政部门对用人单位执行本规定的情况进行监督检查，对违反本规定的行为依照有关法规进行处罚。</w:t>
            </w:r>
          </w:p>
          <w:p w14:paraId="7DD9DAC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6.【部门规章】《最低工资规定》（2004年1月20日劳动保障部令第21号）第四条第一款：县级以上地方人民政府劳动保障行政部门负责对本行政区域内用人单位执行本规定情况进行监督检查。</w:t>
            </w:r>
          </w:p>
          <w:p w14:paraId="0FB081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7.【行政法规】《职工带薪年休假条例》（2007年12月14日国务院令第514号）第六条第一款：县级以上地方人民政府人事部门、劳动保障部门应当依据职权对单位执行本条例的情况主动进行监督检查。</w:t>
            </w:r>
          </w:p>
          <w:p w14:paraId="2A9C37D5">
            <w:pPr>
              <w:pStyle w:val="2"/>
              <w:rPr>
                <w:b/>
                <w:bCs/>
                <w:sz w:val="44"/>
              </w:rPr>
            </w:pPr>
          </w:p>
          <w:p w14:paraId="11676BF1">
            <w:pPr>
              <w:pStyle w:val="3"/>
              <w:rPr>
                <w:bCs/>
                <w:sz w:val="44"/>
              </w:rPr>
            </w:pPr>
          </w:p>
          <w:p w14:paraId="0A66B079">
            <w:pPr>
              <w:rPr>
                <w:b/>
                <w:bCs/>
                <w:sz w:val="44"/>
              </w:rPr>
            </w:pPr>
          </w:p>
          <w:p w14:paraId="1A40380E">
            <w:pPr>
              <w:pStyle w:val="2"/>
              <w:rPr>
                <w:b/>
                <w:bCs/>
                <w:sz w:val="44"/>
              </w:rPr>
            </w:pPr>
          </w:p>
          <w:p w14:paraId="6469B238">
            <w:pPr>
              <w:pStyle w:val="3"/>
              <w:rPr>
                <w:b w:val="0"/>
              </w:rPr>
            </w:pPr>
          </w:p>
        </w:tc>
        <w:tc>
          <w:tcPr>
            <w:tcW w:w="4513" w:type="dxa"/>
            <w:tcBorders>
              <w:top w:val="single" w:color="auto" w:sz="4" w:space="0"/>
              <w:left w:val="nil"/>
              <w:bottom w:val="single" w:color="auto" w:sz="4" w:space="0"/>
              <w:right w:val="single" w:color="auto" w:sz="4" w:space="0"/>
            </w:tcBorders>
            <w:vAlign w:val="center"/>
          </w:tcPr>
          <w:p w14:paraId="27980A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3DC1D0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7CAAF4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04A0FD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6AD00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县级以上各级人民政府劳动行政部门依法对用人单位遵守劳动法律、法规的情况进行监督检查，对违反劳动法律、法规的行为有权制止，并责令改正。第八十六条： 县级以上各级人民政府劳动行政部门监督检查人员执行公务，有权进入用人单位了解执行劳动法律、法规的情况，查阅必要的资料，并对劳动场所进行检查。</w:t>
            </w:r>
          </w:p>
          <w:p w14:paraId="0B035A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6C180AC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1D998B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88DCE5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EAA1DC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1654057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068B54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w:t>
            </w:r>
          </w:p>
          <w:p w14:paraId="1EF85EF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论决定。</w:t>
            </w:r>
          </w:p>
          <w:p w14:paraId="52261A97">
            <w:pPr>
              <w:widowControl/>
              <w:adjustRightInd w:val="0"/>
              <w:snapToGrid w:val="0"/>
              <w:spacing w:line="300" w:lineRule="exact"/>
              <w:jc w:val="center"/>
              <w:rPr>
                <w:rFonts w:eastAsia="仿宋_GB2312" w:cs="仿宋_GB2312"/>
                <w:snapToGrid w:val="0"/>
                <w:sz w:val="20"/>
                <w:szCs w:val="20"/>
              </w:rPr>
            </w:pPr>
          </w:p>
        </w:tc>
      </w:tr>
      <w:tr w14:paraId="70EDBAA8">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74BE96F">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7</w:t>
            </w:r>
            <w:r>
              <w:rPr>
                <w:rFonts w:hint="eastAsia" w:eastAsia="仿宋_GB2312" w:cs="仿宋_GB2312"/>
                <w:snapToGrid w:val="0"/>
                <w:sz w:val="20"/>
                <w:szCs w:val="20"/>
                <w:highlight w:val="none"/>
                <w:lang w:val="en-US" w:eastAsia="zh-CN"/>
              </w:rPr>
              <w:t>4</w:t>
            </w:r>
          </w:p>
        </w:tc>
        <w:tc>
          <w:tcPr>
            <w:tcW w:w="585" w:type="dxa"/>
            <w:tcBorders>
              <w:top w:val="single" w:color="auto" w:sz="4" w:space="0"/>
              <w:left w:val="nil"/>
              <w:bottom w:val="single" w:color="auto" w:sz="4" w:space="0"/>
              <w:right w:val="single" w:color="auto" w:sz="4" w:space="0"/>
            </w:tcBorders>
            <w:vAlign w:val="center"/>
          </w:tcPr>
          <w:p w14:paraId="4FA4BB9D">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行政检查</w:t>
            </w:r>
          </w:p>
        </w:tc>
        <w:tc>
          <w:tcPr>
            <w:tcW w:w="1243" w:type="dxa"/>
            <w:tcBorders>
              <w:top w:val="single" w:color="auto" w:sz="4" w:space="0"/>
              <w:left w:val="nil"/>
              <w:bottom w:val="single" w:color="auto" w:sz="4" w:space="0"/>
              <w:right w:val="single" w:color="auto" w:sz="4" w:space="0"/>
            </w:tcBorders>
            <w:vAlign w:val="center"/>
          </w:tcPr>
          <w:p w14:paraId="7C3EA168">
            <w:pPr>
              <w:widowControl/>
              <w:adjustRightInd w:val="0"/>
              <w:snapToGrid w:val="0"/>
              <w:spacing w:line="300" w:lineRule="exact"/>
              <w:jc w:val="center"/>
              <w:rPr>
                <w:rFonts w:eastAsia="仿宋_GB2312" w:cs="仿宋_GB2312"/>
                <w:snapToGrid w:val="0"/>
                <w:sz w:val="20"/>
                <w:szCs w:val="20"/>
                <w:highlight w:val="none"/>
              </w:rPr>
            </w:pPr>
            <w:r>
              <w:rPr>
                <w:rFonts w:hint="eastAsia" w:ascii="仿宋_GB2312" w:hAnsi="宋体" w:eastAsia="仿宋_GB2312" w:cs="宋体"/>
                <w:snapToGrid w:val="0"/>
                <w:szCs w:val="21"/>
                <w:highlight w:val="none"/>
                <w:lang w:val="en-US" w:eastAsia="zh-CN"/>
              </w:rPr>
              <w:t>社会保险职责范围内举报投诉的稽核（社会保险待遇）</w:t>
            </w:r>
          </w:p>
        </w:tc>
        <w:tc>
          <w:tcPr>
            <w:tcW w:w="1522" w:type="dxa"/>
            <w:tcBorders>
              <w:top w:val="single" w:color="auto" w:sz="4" w:space="0"/>
              <w:left w:val="nil"/>
              <w:bottom w:val="single" w:color="auto" w:sz="4" w:space="0"/>
              <w:right w:val="single" w:color="auto" w:sz="4" w:space="0"/>
            </w:tcBorders>
            <w:vAlign w:val="center"/>
          </w:tcPr>
          <w:p w14:paraId="6AD3C87B">
            <w:pPr>
              <w:widowControl/>
              <w:adjustRightInd w:val="0"/>
              <w:snapToGrid w:val="0"/>
              <w:spacing w:line="300" w:lineRule="exact"/>
              <w:jc w:val="center"/>
              <w:rPr>
                <w:rFonts w:eastAsia="仿宋_GB2312" w:cs="仿宋_GB2312"/>
                <w:snapToGrid w:val="0"/>
                <w:sz w:val="20"/>
                <w:szCs w:val="20"/>
                <w:highlight w:val="none"/>
              </w:rPr>
            </w:pPr>
          </w:p>
        </w:tc>
        <w:tc>
          <w:tcPr>
            <w:tcW w:w="1076" w:type="dxa"/>
            <w:tcBorders>
              <w:top w:val="single" w:color="auto" w:sz="4" w:space="0"/>
              <w:left w:val="nil"/>
              <w:bottom w:val="single" w:color="auto" w:sz="4" w:space="0"/>
              <w:right w:val="single" w:color="auto" w:sz="4" w:space="0"/>
            </w:tcBorders>
            <w:vAlign w:val="center"/>
          </w:tcPr>
          <w:p w14:paraId="170E1A5E">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设区市、县级</w:t>
            </w:r>
          </w:p>
        </w:tc>
        <w:tc>
          <w:tcPr>
            <w:tcW w:w="6101" w:type="dxa"/>
            <w:tcBorders>
              <w:top w:val="single" w:color="auto" w:sz="4" w:space="0"/>
              <w:left w:val="nil"/>
              <w:bottom w:val="single" w:color="auto" w:sz="4" w:space="0"/>
              <w:right w:val="single" w:color="auto" w:sz="4" w:space="0"/>
            </w:tcBorders>
            <w:vAlign w:val="center"/>
          </w:tcPr>
          <w:p w14:paraId="7852E2F5">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1.【法律】《中华人民共和国社会保险法》（2010年10月28日通过，2018年12月29日修正）第八十二条：……社会保险行政部门、卫生行政部门、社会保险经办机构、社会保险费征收机构和财政部门、审计机关对属于本部门、本机构职责范围的举报、投诉，应当依法处理。有权处理的部门、机构应当及时处理，不得推诿。</w:t>
            </w:r>
          </w:p>
          <w:p w14:paraId="31D6D049">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2.【部门规章】《社会保险稽核办法》（2003年2月27日劳动保障部令第16号公布）第三条：县级以上社会保险经办机构负责社会保险稽核工作。……</w:t>
            </w:r>
          </w:p>
          <w:p w14:paraId="455AB396">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513" w:type="dxa"/>
            <w:tcBorders>
              <w:top w:val="single" w:color="auto" w:sz="4" w:space="0"/>
              <w:left w:val="nil"/>
              <w:bottom w:val="single" w:color="auto" w:sz="4" w:space="0"/>
              <w:right w:val="single" w:color="auto" w:sz="4" w:space="0"/>
            </w:tcBorders>
            <w:vAlign w:val="center"/>
          </w:tcPr>
          <w:p w14:paraId="1620F4F2">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1.受理责任：依法受理或不予受理（不予受理应当告知理由）；</w:t>
            </w:r>
          </w:p>
          <w:p w14:paraId="3A367532">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2．审查责任：材料审核；提出审查意见；</w:t>
            </w:r>
          </w:p>
          <w:p w14:paraId="716A87C8">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3．决定责任：作出决定（不予受理的应当告知理由）；按时办结；</w:t>
            </w:r>
          </w:p>
          <w:p w14:paraId="079EFDEA">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4．送达责任：制发送达书；信息公开；</w:t>
            </w:r>
          </w:p>
          <w:p w14:paraId="1EFB714A">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5．法律法规规章文件规定的其他应履行的责任。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69E8A94">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1-1.【法律】</w:t>
            </w:r>
            <w:r>
              <w:rPr>
                <w:rFonts w:hint="eastAsia" w:eastAsia="仿宋_GB2312" w:cs="仿宋_GB2312"/>
                <w:snapToGrid w:val="0"/>
                <w:sz w:val="20"/>
                <w:szCs w:val="20"/>
                <w:highlight w:val="none"/>
              </w:rPr>
              <w:t>《中华人民共和国社会保险法》（</w:t>
            </w:r>
            <w:r>
              <w:rPr>
                <w:rFonts w:eastAsia="仿宋_GB2312" w:cs="仿宋_GB2312"/>
                <w:snapToGrid w:val="0"/>
                <w:sz w:val="20"/>
                <w:szCs w:val="20"/>
                <w:highlight w:val="none"/>
              </w:rPr>
              <w:t>2010年10月28日通过，2018年12月29日修正）</w:t>
            </w:r>
            <w:r>
              <w:rPr>
                <w:rFonts w:hint="eastAsia" w:eastAsia="仿宋_GB2312" w:cs="仿宋_GB2312"/>
                <w:snapToGrid w:val="0"/>
                <w:sz w:val="20"/>
                <w:szCs w:val="20"/>
                <w:highlight w:val="none"/>
              </w:rPr>
              <w:t>第八十二条：……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14:paraId="4C3E254C">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1-2.【部门规章】</w:t>
            </w:r>
            <w:r>
              <w:rPr>
                <w:rFonts w:hint="eastAsia" w:eastAsia="仿宋_GB2312" w:cs="仿宋_GB2312"/>
                <w:snapToGrid w:val="0"/>
                <w:sz w:val="20"/>
                <w:szCs w:val="20"/>
                <w:highlight w:val="none"/>
              </w:rPr>
              <w:t>《社会保险稽核办法》（2003年2月27日劳动保障部令第16号公布）</w:t>
            </w:r>
            <w:r>
              <w:rPr>
                <w:rFonts w:eastAsia="仿宋_GB2312" w:cs="仿宋_GB2312"/>
                <w:snapToGrid w:val="0"/>
                <w:sz w:val="20"/>
                <w:szCs w:val="20"/>
                <w:highlight w:val="none"/>
              </w:rPr>
              <w:t>第三条：县级以上社会保险经办机构负责社会保险稽核工作。</w:t>
            </w:r>
            <w:r>
              <w:rPr>
                <w:rFonts w:hint="eastAsia" w:eastAsia="仿宋_GB2312" w:cs="仿宋_GB2312"/>
                <w:snapToGrid w:val="0"/>
                <w:sz w:val="20"/>
                <w:szCs w:val="20"/>
                <w:highlight w:val="none"/>
              </w:rPr>
              <w:t>……</w:t>
            </w:r>
          </w:p>
          <w:p w14:paraId="01FC5C9A">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1-3.【自治区党委政府文件】自治区党委编办关于印发《广西壮族自治区社会保险事业管理中心职能配置、内设机构和人员编制规定》的通知（桂编办发〔2019〕63号文件）第四条第（十）款：负责自治区本级并指导全区“三险一金”待遇举报、投诉的稽核事务性工作。</w:t>
            </w:r>
          </w:p>
          <w:p w14:paraId="0950E697">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2.同１。</w:t>
            </w:r>
          </w:p>
          <w:p w14:paraId="2B29F062">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3.同１。</w:t>
            </w:r>
          </w:p>
          <w:p w14:paraId="0B12D6BC">
            <w:pPr>
              <w:widowControl/>
              <w:adjustRightInd w:val="0"/>
              <w:snapToGrid w:val="0"/>
              <w:spacing w:line="300" w:lineRule="exact"/>
              <w:jc w:val="center"/>
              <w:rPr>
                <w:rFonts w:eastAsia="仿宋_GB2312" w:cs="仿宋_GB2312"/>
                <w:snapToGrid w:val="0"/>
                <w:sz w:val="20"/>
                <w:szCs w:val="20"/>
                <w:highlight w:val="none"/>
              </w:rPr>
            </w:pPr>
            <w:r>
              <w:rPr>
                <w:rFonts w:eastAsia="仿宋_GB2312" w:cs="仿宋_GB2312"/>
                <w:snapToGrid w:val="0"/>
                <w:sz w:val="20"/>
                <w:szCs w:val="20"/>
                <w:highlight w:val="none"/>
              </w:rPr>
              <w:t>4.同１。</w:t>
            </w:r>
          </w:p>
          <w:p w14:paraId="05639751">
            <w:pPr>
              <w:widowControl/>
              <w:adjustRightInd w:val="0"/>
              <w:snapToGrid w:val="0"/>
              <w:spacing w:line="300" w:lineRule="exact"/>
              <w:jc w:val="center"/>
              <w:rPr>
                <w:rFonts w:eastAsia="仿宋_GB2312" w:cs="仿宋_GB2312"/>
                <w:snapToGrid w:val="0"/>
                <w:sz w:val="20"/>
                <w:szCs w:val="20"/>
                <w:highlight w:val="none"/>
              </w:rPr>
            </w:pPr>
          </w:p>
          <w:p w14:paraId="0780EEEF">
            <w:pPr>
              <w:pStyle w:val="2"/>
              <w:rPr>
                <w:highlight w:val="none"/>
              </w:rPr>
            </w:pPr>
          </w:p>
          <w:p w14:paraId="6E0AB5BE">
            <w:pPr>
              <w:pStyle w:val="3"/>
              <w:rPr>
                <w:highlight w:val="none"/>
              </w:rPr>
            </w:pPr>
          </w:p>
          <w:p w14:paraId="5EE8E877">
            <w:pPr>
              <w:rPr>
                <w:highlight w:val="none"/>
              </w:rPr>
            </w:pPr>
          </w:p>
          <w:p w14:paraId="51C4F187">
            <w:pPr>
              <w:pStyle w:val="2"/>
              <w:rPr>
                <w:highlight w:val="none"/>
              </w:rPr>
            </w:pPr>
          </w:p>
          <w:p w14:paraId="4FD3AFCC">
            <w:pPr>
              <w:pStyle w:val="3"/>
              <w:rPr>
                <w:highlight w:val="none"/>
              </w:rPr>
            </w:pPr>
          </w:p>
          <w:p w14:paraId="260E6527">
            <w:pPr>
              <w:widowControl/>
              <w:adjustRightInd w:val="0"/>
              <w:snapToGrid w:val="0"/>
              <w:spacing w:line="300" w:lineRule="exact"/>
              <w:jc w:val="center"/>
              <w:rPr>
                <w:rFonts w:eastAsia="仿宋_GB2312" w:cs="仿宋_GB2312"/>
                <w:snapToGrid w:val="0"/>
                <w:sz w:val="20"/>
                <w:szCs w:val="20"/>
                <w:highlight w:val="none"/>
              </w:rPr>
            </w:pPr>
          </w:p>
        </w:tc>
      </w:tr>
      <w:tr w14:paraId="6CFC4930">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BD23274">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5</w:t>
            </w:r>
          </w:p>
        </w:tc>
        <w:tc>
          <w:tcPr>
            <w:tcW w:w="585" w:type="dxa"/>
            <w:tcBorders>
              <w:top w:val="single" w:color="auto" w:sz="4" w:space="0"/>
              <w:left w:val="nil"/>
              <w:bottom w:val="single" w:color="auto" w:sz="4" w:space="0"/>
              <w:right w:val="single" w:color="auto" w:sz="4" w:space="0"/>
            </w:tcBorders>
            <w:vAlign w:val="center"/>
          </w:tcPr>
          <w:p w14:paraId="1545A8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4169AB3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对用人单位、继续教育机构执行《专业技术人员继续教育规定》的情况的监督检查</w:t>
            </w:r>
          </w:p>
        </w:tc>
        <w:tc>
          <w:tcPr>
            <w:tcW w:w="1522" w:type="dxa"/>
            <w:tcBorders>
              <w:top w:val="single" w:color="auto" w:sz="4" w:space="0"/>
              <w:left w:val="nil"/>
              <w:bottom w:val="single" w:color="auto" w:sz="4" w:space="0"/>
              <w:right w:val="single" w:color="auto" w:sz="4" w:space="0"/>
            </w:tcBorders>
            <w:vAlign w:val="center"/>
          </w:tcPr>
          <w:p w14:paraId="15574168">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240DA91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0592B5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【部门规章】《专业技术人员继续教育规定》（2015年8月13日人力资源社会保障部令第25号公布）第二十六条：人力资源社会保障行政部门应当依法对用人单位、继续教育机构执行本规定的情况进行监督检查。</w:t>
            </w:r>
          </w:p>
        </w:tc>
        <w:tc>
          <w:tcPr>
            <w:tcW w:w="4513" w:type="dxa"/>
            <w:tcBorders>
              <w:top w:val="single" w:color="auto" w:sz="4" w:space="0"/>
              <w:left w:val="nil"/>
              <w:bottom w:val="single" w:color="auto" w:sz="4" w:space="0"/>
              <w:right w:val="single" w:color="auto" w:sz="4" w:space="0"/>
            </w:tcBorders>
            <w:vAlign w:val="center"/>
          </w:tcPr>
          <w:p w14:paraId="2B61335F">
            <w:pPr>
              <w:widowControl/>
              <w:adjustRightInd w:val="0"/>
              <w:snapToGrid w:val="0"/>
              <w:spacing w:line="300" w:lineRule="exact"/>
              <w:ind w:firstLine="400"/>
              <w:jc w:val="center"/>
              <w:rPr>
                <w:rFonts w:eastAsia="仿宋_GB2312" w:cs="仿宋_GB2312"/>
                <w:snapToGrid w:val="0"/>
                <w:sz w:val="20"/>
                <w:szCs w:val="20"/>
              </w:rPr>
            </w:pPr>
          </w:p>
          <w:p w14:paraId="3B99D9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642D8C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3685E34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77F8DBB3">
            <w:pPr>
              <w:pStyle w:val="2"/>
            </w:pPr>
            <w:r>
              <w:rPr>
                <w:rFonts w:hint="eastAsia" w:eastAsia="仿宋_GB2312" w:cs="仿宋_GB2312"/>
                <w:snapToGrid w:val="0"/>
                <w:sz w:val="20"/>
                <w:szCs w:val="20"/>
              </w:rPr>
              <w:t>4.法律法规规章文件规定的其他应履行的责任。</w:t>
            </w:r>
          </w:p>
          <w:p w14:paraId="234632B4">
            <w:pPr>
              <w:pStyle w:val="3"/>
            </w:pPr>
          </w:p>
        </w:tc>
        <w:tc>
          <w:tcPr>
            <w:tcW w:w="6315" w:type="dxa"/>
            <w:tcBorders>
              <w:top w:val="single" w:color="auto" w:sz="4" w:space="0"/>
              <w:left w:val="nil"/>
              <w:bottom w:val="single" w:color="auto" w:sz="4" w:space="0"/>
              <w:right w:val="single" w:color="auto" w:sz="4" w:space="0"/>
            </w:tcBorders>
            <w:vAlign w:val="center"/>
          </w:tcPr>
          <w:p w14:paraId="046E78CB">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1.【部门规章】</w:t>
            </w:r>
            <w:r>
              <w:rPr>
                <w:rFonts w:hint="eastAsia" w:eastAsia="仿宋_GB2312" w:cs="仿宋_GB2312"/>
                <w:snapToGrid w:val="0"/>
                <w:sz w:val="20"/>
                <w:szCs w:val="20"/>
              </w:rPr>
              <w:t>《专业技术人员继续教育规定》（2015年8月13日人力资源社会保障部令第25号公布）第二十六条</w:t>
            </w:r>
            <w:r>
              <w:rPr>
                <w:rFonts w:eastAsia="仿宋_GB2312" w:cs="仿宋_GB2312"/>
                <w:snapToGrid w:val="0"/>
                <w:sz w:val="20"/>
                <w:szCs w:val="20"/>
              </w:rPr>
              <w:t xml:space="preserve">  </w:t>
            </w:r>
            <w:r>
              <w:rPr>
                <w:rFonts w:hint="eastAsia" w:eastAsia="仿宋_GB2312" w:cs="仿宋_GB2312"/>
                <w:snapToGrid w:val="0"/>
                <w:sz w:val="20"/>
                <w:szCs w:val="20"/>
              </w:rPr>
              <w:t>人力资源社会保障行政部门应当依法对用人单位、继续教育机构执行本规定的情况进行监督检查。2.同1。</w:t>
            </w:r>
          </w:p>
          <w:p w14:paraId="740B0EA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3B43AD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BAEF7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2C6E2D4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580E13A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E60D72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r>
      <w:tr w14:paraId="46AE0E65">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772F36B">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76</w:t>
            </w:r>
          </w:p>
        </w:tc>
        <w:tc>
          <w:tcPr>
            <w:tcW w:w="585" w:type="dxa"/>
            <w:tcBorders>
              <w:top w:val="single" w:color="auto" w:sz="4" w:space="0"/>
              <w:left w:val="nil"/>
              <w:bottom w:val="single" w:color="auto" w:sz="4" w:space="0"/>
              <w:right w:val="single" w:color="auto" w:sz="4" w:space="0"/>
            </w:tcBorders>
            <w:vAlign w:val="center"/>
          </w:tcPr>
          <w:p w14:paraId="423B29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092731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对实施劳动合同制度的情况进行监督检查</w:t>
            </w:r>
          </w:p>
        </w:tc>
        <w:tc>
          <w:tcPr>
            <w:tcW w:w="1522" w:type="dxa"/>
            <w:tcBorders>
              <w:top w:val="single" w:color="auto" w:sz="4" w:space="0"/>
              <w:left w:val="nil"/>
              <w:bottom w:val="single" w:color="auto" w:sz="4" w:space="0"/>
              <w:right w:val="single" w:color="auto" w:sz="4" w:space="0"/>
            </w:tcBorders>
            <w:vAlign w:val="center"/>
          </w:tcPr>
          <w:p w14:paraId="63AAEEE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EB34C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707D49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w:t>
            </w:r>
          </w:p>
          <w:p w14:paraId="3B468AC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tc>
        <w:tc>
          <w:tcPr>
            <w:tcW w:w="4513" w:type="dxa"/>
            <w:tcBorders>
              <w:top w:val="single" w:color="auto" w:sz="4" w:space="0"/>
              <w:left w:val="nil"/>
              <w:bottom w:val="single" w:color="auto" w:sz="4" w:space="0"/>
              <w:right w:val="single" w:color="auto" w:sz="4" w:space="0"/>
            </w:tcBorders>
            <w:vAlign w:val="center"/>
          </w:tcPr>
          <w:p w14:paraId="0D13629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21317B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0E13A5D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3CE691E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0BDE1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w:t>
            </w:r>
          </w:p>
          <w:p w14:paraId="6662E56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14:paraId="4821BB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14:paraId="05B05CD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4D8849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9E9A9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FE332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1BB8F5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EE81E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20D5FB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097375B7">
            <w:pPr>
              <w:pStyle w:val="2"/>
              <w:rPr>
                <w:rFonts w:ascii="Arial" w:hAnsi="Arial"/>
                <w:b/>
              </w:rPr>
            </w:pPr>
          </w:p>
        </w:tc>
      </w:tr>
      <w:tr w14:paraId="4F5F0330">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9ED7E23">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7</w:t>
            </w:r>
          </w:p>
        </w:tc>
        <w:tc>
          <w:tcPr>
            <w:tcW w:w="585" w:type="dxa"/>
            <w:tcBorders>
              <w:top w:val="single" w:color="auto" w:sz="4" w:space="0"/>
              <w:left w:val="nil"/>
              <w:bottom w:val="single" w:color="auto" w:sz="4" w:space="0"/>
              <w:right w:val="single" w:color="auto" w:sz="4" w:space="0"/>
            </w:tcBorders>
            <w:vAlign w:val="center"/>
          </w:tcPr>
          <w:p w14:paraId="162480E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0A1C5C4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对用人单位遵守《就业促进法》情况的监督检查</w:t>
            </w:r>
          </w:p>
        </w:tc>
        <w:tc>
          <w:tcPr>
            <w:tcW w:w="1522" w:type="dxa"/>
            <w:tcBorders>
              <w:top w:val="single" w:color="auto" w:sz="4" w:space="0"/>
              <w:left w:val="nil"/>
              <w:bottom w:val="single" w:color="auto" w:sz="4" w:space="0"/>
              <w:right w:val="single" w:color="auto" w:sz="4" w:space="0"/>
            </w:tcBorders>
            <w:vAlign w:val="center"/>
          </w:tcPr>
          <w:p w14:paraId="0F7413B7">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4543F7E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9BB42F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条：劳动行政部门应当对本法实施情况进行监督检查，建立举报制度，受理对违反本法行为的举报，并及时予以核实处理。</w:t>
            </w:r>
          </w:p>
        </w:tc>
        <w:tc>
          <w:tcPr>
            <w:tcW w:w="4513" w:type="dxa"/>
            <w:tcBorders>
              <w:top w:val="single" w:color="auto" w:sz="4" w:space="0"/>
              <w:left w:val="nil"/>
              <w:bottom w:val="single" w:color="auto" w:sz="4" w:space="0"/>
              <w:right w:val="single" w:color="auto" w:sz="4" w:space="0"/>
            </w:tcBorders>
            <w:vAlign w:val="center"/>
          </w:tcPr>
          <w:p w14:paraId="6CC169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14:paraId="525548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2C1219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3832E4B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FEC4C7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条：“劳动行政部门应当对本法实施情况进行监督检查，建立举报制度，受理对违反本法行为的举报，并及时予以核实处理。”</w:t>
            </w:r>
          </w:p>
          <w:p w14:paraId="3D3F68D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2.同1。 </w:t>
            </w:r>
          </w:p>
          <w:p w14:paraId="5C54F53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6DCB54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3EB21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5EB6CE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1DE9FA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5B0382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r>
      <w:tr w14:paraId="1C6965B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72B51E0">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8</w:t>
            </w:r>
          </w:p>
        </w:tc>
        <w:tc>
          <w:tcPr>
            <w:tcW w:w="585" w:type="dxa"/>
            <w:tcBorders>
              <w:top w:val="single" w:color="auto" w:sz="4" w:space="0"/>
              <w:left w:val="nil"/>
              <w:bottom w:val="single" w:color="auto" w:sz="4" w:space="0"/>
              <w:right w:val="single" w:color="auto" w:sz="4" w:space="0"/>
            </w:tcBorders>
            <w:vAlign w:val="center"/>
          </w:tcPr>
          <w:p w14:paraId="3154E1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1C8B9D9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对集体合同、专项集体合同签订、履行情况的监督检查</w:t>
            </w:r>
          </w:p>
        </w:tc>
        <w:tc>
          <w:tcPr>
            <w:tcW w:w="1522" w:type="dxa"/>
            <w:tcBorders>
              <w:top w:val="single" w:color="auto" w:sz="4" w:space="0"/>
              <w:left w:val="nil"/>
              <w:bottom w:val="single" w:color="auto" w:sz="4" w:space="0"/>
              <w:right w:val="single" w:color="auto" w:sz="4" w:space="0"/>
            </w:tcBorders>
            <w:vAlign w:val="center"/>
          </w:tcPr>
          <w:p w14:paraId="73848945">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A8484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33E644F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集体合同规定》（2004年1月20日劳动保障部令第22号公布）第七条：县级以上劳动保障行政部门对本行政区域内用人单位与本单位职工开展集体协商、签订、履行集体合同的情况进行监督，并负责审查集体合同或者专项集体合同。</w:t>
            </w:r>
          </w:p>
          <w:p w14:paraId="7553BAC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2.【部门规章】《工资集体协商试行办法》（2000年11月8日劳动保障部令第9号公布）第六条：县级以上劳动保障行政部门依法对工资协议进行审查，对协议的履行情况进行监督检查。</w:t>
            </w:r>
          </w:p>
        </w:tc>
        <w:tc>
          <w:tcPr>
            <w:tcW w:w="4513" w:type="dxa"/>
            <w:tcBorders>
              <w:top w:val="single" w:color="auto" w:sz="4" w:space="0"/>
              <w:left w:val="nil"/>
              <w:bottom w:val="single" w:color="auto" w:sz="4" w:space="0"/>
              <w:right w:val="single" w:color="auto" w:sz="4" w:space="0"/>
            </w:tcBorders>
            <w:vAlign w:val="center"/>
          </w:tcPr>
          <w:p w14:paraId="05FF3E8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14:paraId="5DD5573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3A24783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7AA8892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3E2819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1.【部门规章】《集体合同规定》（2004年1月20日劳动保障部</w:t>
            </w:r>
          </w:p>
          <w:p w14:paraId="2695D5B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令第22号公布）第七条：县级以上劳动保障行政部门对本行政区域内用人单位与本单位职工开展集体协商、签订、履行集体合同的情况进行监督，并负责审查集体合同或者专项集体合同。</w:t>
            </w:r>
          </w:p>
          <w:p w14:paraId="1D926CD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6D02F84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FB13E4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2CA24D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61345C0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7C74A5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111F68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r>
      <w:tr w14:paraId="3E69EBB1">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7AA2817">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79</w:t>
            </w:r>
          </w:p>
        </w:tc>
        <w:tc>
          <w:tcPr>
            <w:tcW w:w="585" w:type="dxa"/>
            <w:tcBorders>
              <w:top w:val="single" w:color="auto" w:sz="4" w:space="0"/>
              <w:left w:val="nil"/>
              <w:bottom w:val="single" w:color="auto" w:sz="4" w:space="0"/>
              <w:right w:val="single" w:color="auto" w:sz="4" w:space="0"/>
            </w:tcBorders>
            <w:vAlign w:val="center"/>
          </w:tcPr>
          <w:p w14:paraId="040A447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2159C6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对遵守劳务派遣相关规定的监督检查</w:t>
            </w:r>
          </w:p>
        </w:tc>
        <w:tc>
          <w:tcPr>
            <w:tcW w:w="1522" w:type="dxa"/>
            <w:tcBorders>
              <w:top w:val="single" w:color="auto" w:sz="4" w:space="0"/>
              <w:left w:val="nil"/>
              <w:bottom w:val="single" w:color="auto" w:sz="4" w:space="0"/>
              <w:right w:val="single" w:color="auto" w:sz="4" w:space="0"/>
            </w:tcBorders>
            <w:vAlign w:val="center"/>
          </w:tcPr>
          <w:p w14:paraId="68C86B39">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608CF59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D705FF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w:t>
            </w:r>
          </w:p>
          <w:p w14:paraId="489EC2D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况；</w:t>
            </w:r>
          </w:p>
          <w:p w14:paraId="5047C5C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劳务派遣行政许可实施办法》（2013年6月20日人力资源社会保障部令第19号）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w:t>
            </w:r>
          </w:p>
          <w:p w14:paraId="23B0774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行政许可工作以及相关的监督检查。</w:t>
            </w:r>
          </w:p>
        </w:tc>
        <w:tc>
          <w:tcPr>
            <w:tcW w:w="4513" w:type="dxa"/>
            <w:tcBorders>
              <w:top w:val="single" w:color="auto" w:sz="4" w:space="0"/>
              <w:left w:val="nil"/>
              <w:bottom w:val="single" w:color="auto" w:sz="4" w:space="0"/>
              <w:right w:val="single" w:color="auto" w:sz="4" w:space="0"/>
            </w:tcBorders>
            <w:vAlign w:val="center"/>
          </w:tcPr>
          <w:p w14:paraId="262236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14:paraId="2D127B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5ACE569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782C6C5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18CFB50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况；</w:t>
            </w:r>
          </w:p>
          <w:p w14:paraId="3A8436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w:t>
            </w:r>
          </w:p>
          <w:p w14:paraId="4E793B8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人员进行核查。</w:t>
            </w:r>
          </w:p>
          <w:p w14:paraId="63F5280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EFC93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C65AD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6006DAA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7FD111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082B6E4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r>
      <w:tr w14:paraId="30F22F1F">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C41393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80</w:t>
            </w:r>
          </w:p>
        </w:tc>
        <w:tc>
          <w:tcPr>
            <w:tcW w:w="585" w:type="dxa"/>
            <w:tcBorders>
              <w:top w:val="single" w:color="auto" w:sz="4" w:space="0"/>
              <w:left w:val="nil"/>
              <w:bottom w:val="single" w:color="auto" w:sz="4" w:space="0"/>
              <w:right w:val="single" w:color="auto" w:sz="4" w:space="0"/>
            </w:tcBorders>
            <w:vAlign w:val="center"/>
          </w:tcPr>
          <w:p w14:paraId="2A78A65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4BACCF6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w:t>
            </w:r>
            <w:r>
              <w:rPr>
                <w:rFonts w:hint="eastAsia" w:eastAsia="仿宋_GB2312" w:cs="仿宋_GB2312"/>
                <w:snapToGrid w:val="0"/>
                <w:sz w:val="20"/>
                <w:szCs w:val="20"/>
                <w:lang w:eastAsia="zh-CN"/>
              </w:rPr>
              <w:t>经营性</w:t>
            </w:r>
            <w:r>
              <w:rPr>
                <w:rFonts w:hint="eastAsia" w:eastAsia="仿宋_GB2312" w:cs="仿宋_GB2312"/>
                <w:snapToGrid w:val="0"/>
                <w:sz w:val="20"/>
                <w:szCs w:val="20"/>
              </w:rPr>
              <w:t>人力资源服务机构的监督检查</w:t>
            </w:r>
          </w:p>
        </w:tc>
        <w:tc>
          <w:tcPr>
            <w:tcW w:w="1522" w:type="dxa"/>
            <w:tcBorders>
              <w:top w:val="single" w:color="auto" w:sz="4" w:space="0"/>
              <w:left w:val="nil"/>
              <w:bottom w:val="single" w:color="auto" w:sz="4" w:space="0"/>
              <w:right w:val="single" w:color="auto" w:sz="4" w:space="0"/>
            </w:tcBorders>
            <w:vAlign w:val="center"/>
          </w:tcPr>
          <w:p w14:paraId="515C8ED9">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324B121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6838DAC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14:paraId="061ED4E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14:paraId="20D097D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第五十四条：职业中介机构应当建立服务台账，记录服务对象、服务过程、服务结果和收费情况等，并接受劳动保障行政部门的监督检查。</w:t>
            </w:r>
          </w:p>
          <w:p w14:paraId="6B3F8B2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地方性法规】《广西壮族自治区人力资源市场条例》（2022年3月24日广西第十三届人大常委会第二十八次会议通过）第三十七条：经营性人力资源服务机构应当在服务场所显著位置明示营业执照、服务项目、收费标准、监督机关和监督电话，并接受人力资源社会保障、市场监督管理等部门的监督检查。从事职业中介活动的，还应当在服务场所明示人力资源服务许可证；</w:t>
            </w:r>
          </w:p>
          <w:p w14:paraId="265F8B3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四十四条：县级以上人民政府人力资源社会保障行政部门应当按照有关规定，加强对公共人力资源服务机构的监督管理，督促其履行人力资源公共服务职能，提高公共服务质量和水平。监督检查的有关情况应当及时向社会公布。</w:t>
            </w:r>
          </w:p>
        </w:tc>
        <w:tc>
          <w:tcPr>
            <w:tcW w:w="4513" w:type="dxa"/>
            <w:tcBorders>
              <w:top w:val="single" w:color="auto" w:sz="4" w:space="0"/>
              <w:left w:val="nil"/>
              <w:bottom w:val="single" w:color="auto" w:sz="4" w:space="0"/>
              <w:right w:val="single" w:color="auto" w:sz="4" w:space="0"/>
            </w:tcBorders>
            <w:vAlign w:val="center"/>
          </w:tcPr>
          <w:p w14:paraId="602A149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332CFFF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4145DD3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70DC3D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3451DBB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14:paraId="3C2C16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7418C96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7B25A01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6CBD860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0933E0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07B12D1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7DCBE03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14:paraId="49594A4E">
            <w:pPr>
              <w:widowControl/>
              <w:adjustRightInd w:val="0"/>
              <w:snapToGrid w:val="0"/>
              <w:spacing w:line="300" w:lineRule="exact"/>
              <w:jc w:val="center"/>
              <w:rPr>
                <w:rFonts w:eastAsia="仿宋_GB2312" w:cs="仿宋_GB2312"/>
                <w:snapToGrid w:val="0"/>
                <w:sz w:val="20"/>
                <w:szCs w:val="20"/>
              </w:rPr>
            </w:pPr>
          </w:p>
        </w:tc>
      </w:tr>
      <w:tr w14:paraId="548F482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B7D7269">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81</w:t>
            </w:r>
          </w:p>
        </w:tc>
        <w:tc>
          <w:tcPr>
            <w:tcW w:w="585" w:type="dxa"/>
            <w:tcBorders>
              <w:top w:val="single" w:color="auto" w:sz="4" w:space="0"/>
              <w:left w:val="nil"/>
              <w:bottom w:val="single" w:color="auto" w:sz="4" w:space="0"/>
              <w:right w:val="single" w:color="auto" w:sz="4" w:space="0"/>
            </w:tcBorders>
            <w:vAlign w:val="center"/>
          </w:tcPr>
          <w:p w14:paraId="7B87EB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752A00D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对民办学校的监督检查</w:t>
            </w:r>
          </w:p>
          <w:p w14:paraId="143F9EA9">
            <w:pPr>
              <w:widowControl/>
              <w:adjustRightInd w:val="0"/>
              <w:snapToGrid w:val="0"/>
              <w:spacing w:line="300" w:lineRule="exact"/>
              <w:jc w:val="center"/>
              <w:rPr>
                <w:rFonts w:eastAsia="仿宋_GB2312" w:cs="仿宋_GB2312"/>
                <w:snapToGrid w:val="0"/>
                <w:sz w:val="20"/>
                <w:szCs w:val="20"/>
              </w:rPr>
            </w:pPr>
          </w:p>
        </w:tc>
        <w:tc>
          <w:tcPr>
            <w:tcW w:w="1522" w:type="dxa"/>
            <w:tcBorders>
              <w:top w:val="single" w:color="auto" w:sz="4" w:space="0"/>
              <w:left w:val="nil"/>
              <w:bottom w:val="single" w:color="auto" w:sz="4" w:space="0"/>
              <w:right w:val="single" w:color="auto" w:sz="4" w:space="0"/>
            </w:tcBorders>
            <w:vAlign w:val="center"/>
          </w:tcPr>
          <w:p w14:paraId="2280E833">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0550AFA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51C140C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1.【法律】《中华人民共和国民办教育促进法》（</w:t>
            </w:r>
            <w:r>
              <w:rPr>
                <w:rFonts w:eastAsia="仿宋_GB2312" w:cs="仿宋_GB2312"/>
                <w:snapToGrid w:val="0"/>
                <w:sz w:val="20"/>
                <w:szCs w:val="20"/>
              </w:rPr>
              <w:t>2002</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28</w:t>
            </w:r>
            <w:r>
              <w:rPr>
                <w:rFonts w:hint="eastAsia" w:eastAsia="仿宋_GB2312" w:cs="仿宋_GB2312"/>
                <w:snapToGrid w:val="0"/>
                <w:sz w:val="20"/>
                <w:szCs w:val="20"/>
              </w:rPr>
              <w:t>日通过，</w:t>
            </w:r>
            <w:r>
              <w:rPr>
                <w:rFonts w:eastAsia="仿宋_GB2312" w:cs="仿宋_GB2312"/>
                <w:snapToGrid w:val="0"/>
                <w:sz w:val="20"/>
                <w:szCs w:val="20"/>
              </w:rPr>
              <w:t>2018</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29</w:t>
            </w:r>
            <w:r>
              <w:rPr>
                <w:rFonts w:hint="eastAsia" w:eastAsia="仿宋_GB2312" w:cs="仿宋_GB2312"/>
                <w:snapToGrid w:val="0"/>
                <w:sz w:val="20"/>
                <w:szCs w:val="20"/>
              </w:rPr>
              <w:t>日主席令第</w:t>
            </w:r>
            <w:r>
              <w:rPr>
                <w:rFonts w:eastAsia="仿宋_GB2312" w:cs="仿宋_GB2312"/>
                <w:snapToGrid w:val="0"/>
                <w:sz w:val="20"/>
                <w:szCs w:val="20"/>
              </w:rPr>
              <w:t>24</w:t>
            </w:r>
            <w:r>
              <w:rPr>
                <w:rFonts w:hint="eastAsia" w:eastAsia="仿宋_GB2312" w:cs="仿宋_GB2312"/>
                <w:snapToGrid w:val="0"/>
                <w:sz w:val="20"/>
                <w:szCs w:val="20"/>
              </w:rPr>
              <w:t xml:space="preserve">号第三次修正）第八条：县级以上地方各级人民政府劳动和社会保障行政部门及其他有关部门在各自的职责范围内，分别负责有关的民办教育工作。  </w:t>
            </w:r>
          </w:p>
          <w:p w14:paraId="412213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第四十一条：教育行政部门及有关部门依法对民办学校实行督导，建立民办学校信息公示和信用档案制度，促进提高办学质量；组织或者委托社会中介组织评估办学水平和教育质量，并将评估结果向社会公布。</w:t>
            </w:r>
          </w:p>
          <w:p w14:paraId="5D329F2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民办教育促进法实施条例》（2004年3月5日国务院令第399号，2021年4月7日国务院令第741号修订）第四十七条：……教育、人力资源社会保障、民政、市场监督管理等部门应当根据职责会同有关部门建立民办学校年度检查和年度报告制度，健全日常监管机制。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w:t>
            </w:r>
          </w:p>
          <w:p w14:paraId="7DEB94C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第四十八条：审批机关应当及时公开民办学校举办者情况、办学条件等审批信息。</w:t>
            </w:r>
          </w:p>
          <w:p w14:paraId="34251A8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教育行政部门、人力资源社会保障行政部门应当依据职责分工，定期组织或者委托第三方机构对民办学校的办学水平和教育质量进行评估，评估结果应当向社会公开。</w:t>
            </w:r>
          </w:p>
          <w:p w14:paraId="717F738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第四十九条：教育行政部门及有关部门应当制定实施学前教育、学历教育民办学校的信息公示清单，监督民办学校定期向社会公开办学条件、教育质量等有关信息。</w:t>
            </w:r>
          </w:p>
          <w:p w14:paraId="753B32F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营利性民办学校应当通过全国信用信息共享平台、国家企业信用信息公示系统公示相关信息。</w:t>
            </w:r>
          </w:p>
          <w:p w14:paraId="3B475A7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有关部门应当支持和鼓励民办学校依法建立行业组织，研究制定相应的质量标准，建立认证体系，制定推广反映行业规律和特色要求的合同示范文本。</w:t>
            </w:r>
          </w:p>
          <w:p w14:paraId="3034B14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行政法规】《中华人民共和国中外合作办学条例》（2003年3月1日国务院令第372号公布，2019年3月2日国务院令第709号第二次修订）第三十五条：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tc>
        <w:tc>
          <w:tcPr>
            <w:tcW w:w="4513" w:type="dxa"/>
            <w:tcBorders>
              <w:top w:val="single" w:color="auto" w:sz="4" w:space="0"/>
              <w:left w:val="nil"/>
              <w:bottom w:val="single" w:color="auto" w:sz="4" w:space="0"/>
              <w:right w:val="single" w:color="auto" w:sz="4" w:space="0"/>
            </w:tcBorders>
            <w:vAlign w:val="center"/>
          </w:tcPr>
          <w:p w14:paraId="68B2781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14:paraId="108401C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0DDCA95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57C96CF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63D52F06">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．【法律】《中华人民共和国行政许可法》（</w:t>
            </w:r>
            <w:r>
              <w:rPr>
                <w:rFonts w:eastAsia="仿宋_GB2312" w:cs="仿宋_GB2312"/>
                <w:snapToGrid w:val="0"/>
                <w:sz w:val="20"/>
                <w:szCs w:val="20"/>
              </w:rPr>
              <w:t>2003</w:t>
            </w:r>
            <w:r>
              <w:rPr>
                <w:rFonts w:hint="eastAsia" w:eastAsia="仿宋_GB2312" w:cs="仿宋_GB2312"/>
                <w:snapToGrid w:val="0"/>
                <w:sz w:val="20"/>
                <w:szCs w:val="20"/>
              </w:rPr>
              <w:t>年</w:t>
            </w:r>
            <w:r>
              <w:rPr>
                <w:rFonts w:eastAsia="仿宋_GB2312" w:cs="仿宋_GB2312"/>
                <w:snapToGrid w:val="0"/>
                <w:sz w:val="20"/>
                <w:szCs w:val="20"/>
              </w:rPr>
              <w:t>8</w:t>
            </w:r>
            <w:r>
              <w:rPr>
                <w:rFonts w:hint="eastAsia" w:eastAsia="仿宋_GB2312" w:cs="仿宋_GB2312"/>
                <w:snapToGrid w:val="0"/>
                <w:sz w:val="20"/>
                <w:szCs w:val="20"/>
              </w:rPr>
              <w:t>月</w:t>
            </w:r>
            <w:r>
              <w:rPr>
                <w:rFonts w:eastAsia="仿宋_GB2312" w:cs="仿宋_GB2312"/>
                <w:snapToGrid w:val="0"/>
                <w:sz w:val="20"/>
                <w:szCs w:val="20"/>
              </w:rPr>
              <w:t>27</w:t>
            </w:r>
            <w:r>
              <w:rPr>
                <w:rFonts w:hint="eastAsia" w:eastAsia="仿宋_GB2312" w:cs="仿宋_GB2312"/>
                <w:snapToGrid w:val="0"/>
                <w:sz w:val="20"/>
                <w:szCs w:val="20"/>
              </w:rPr>
              <w:t>日通过，</w:t>
            </w:r>
            <w:r>
              <w:rPr>
                <w:rFonts w:eastAsia="仿宋_GB2312" w:cs="仿宋_GB2312"/>
                <w:snapToGrid w:val="0"/>
                <w:sz w:val="20"/>
                <w:szCs w:val="20"/>
              </w:rPr>
              <w:t>2019</w:t>
            </w:r>
            <w:r>
              <w:rPr>
                <w:rFonts w:hint="eastAsia" w:eastAsia="仿宋_GB2312" w:cs="仿宋_GB2312"/>
                <w:snapToGrid w:val="0"/>
                <w:sz w:val="20"/>
                <w:szCs w:val="20"/>
              </w:rPr>
              <w:t>年</w:t>
            </w:r>
            <w:r>
              <w:rPr>
                <w:rFonts w:eastAsia="仿宋_GB2312" w:cs="仿宋_GB2312"/>
                <w:snapToGrid w:val="0"/>
                <w:sz w:val="20"/>
                <w:szCs w:val="20"/>
              </w:rPr>
              <w:t>4</w:t>
            </w:r>
            <w:r>
              <w:rPr>
                <w:rFonts w:hint="eastAsia" w:eastAsia="仿宋_GB2312" w:cs="仿宋_GB2312"/>
                <w:snapToGrid w:val="0"/>
                <w:sz w:val="20"/>
                <w:szCs w:val="20"/>
              </w:rPr>
              <w:t>月</w:t>
            </w:r>
            <w:r>
              <w:rPr>
                <w:rFonts w:eastAsia="仿宋_GB2312" w:cs="仿宋_GB2312"/>
                <w:snapToGrid w:val="0"/>
                <w:sz w:val="20"/>
                <w:szCs w:val="20"/>
              </w:rPr>
              <w:t>23</w:t>
            </w:r>
            <w:r>
              <w:rPr>
                <w:rFonts w:hint="eastAsia" w:eastAsia="仿宋_GB2312" w:cs="仿宋_GB2312"/>
                <w:snapToGrid w:val="0"/>
                <w:sz w:val="20"/>
                <w:szCs w:val="20"/>
              </w:rPr>
              <w:t>日修正）第六十一条</w:t>
            </w:r>
            <w:r>
              <w:rPr>
                <w:rFonts w:eastAsia="仿宋_GB2312" w:cs="仿宋_GB2312"/>
                <w:snapToGrid w:val="0"/>
                <w:sz w:val="20"/>
                <w:szCs w:val="20"/>
              </w:rPr>
              <w:t xml:space="preserve"> </w:t>
            </w:r>
            <w:r>
              <w:rPr>
                <w:rFonts w:hint="eastAsia" w:eastAsia="仿宋_GB2312" w:cs="仿宋_GB2312"/>
                <w:snapToGrid w:val="0"/>
                <w:sz w:val="20"/>
                <w:szCs w:val="20"/>
              </w:rPr>
              <w:t>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14:paraId="0CA37A58">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【法律】《中华人民共和国民办教育促进法》（</w:t>
            </w:r>
            <w:r>
              <w:rPr>
                <w:rFonts w:eastAsia="仿宋_GB2312" w:cs="仿宋_GB2312"/>
                <w:snapToGrid w:val="0"/>
                <w:sz w:val="20"/>
                <w:szCs w:val="20"/>
              </w:rPr>
              <w:t>2002年12月28日通过，2018年12月29日主席令第24号第三次修正）</w:t>
            </w:r>
            <w:r>
              <w:rPr>
                <w:rFonts w:hint="eastAsia" w:eastAsia="仿宋_GB2312" w:cs="仿宋_GB2312"/>
                <w:snapToGrid w:val="0"/>
                <w:sz w:val="20"/>
                <w:szCs w:val="20"/>
              </w:rPr>
              <w:t>第四十七条：</w:t>
            </w:r>
            <w:r>
              <w:rPr>
                <w:rFonts w:eastAsia="仿宋_GB2312" w:cs="仿宋_GB2312"/>
                <w:snapToGrid w:val="0"/>
                <w:sz w:val="20"/>
                <w:szCs w:val="20"/>
              </w:rPr>
              <w:t>…….</w:t>
            </w:r>
            <w:r>
              <w:rPr>
                <w:rFonts w:hint="eastAsia" w:eastAsia="仿宋_GB2312" w:cs="仿宋_GB2312"/>
                <w:snapToGrid w:val="0"/>
                <w:sz w:val="20"/>
                <w:szCs w:val="20"/>
              </w:rPr>
              <w:t>教育行政部门、人力资源社会保障行政部门</w:t>
            </w:r>
            <w:r>
              <w:rPr>
                <w:rFonts w:eastAsia="仿宋_GB2312" w:cs="仿宋_GB2312"/>
                <w:snapToGrid w:val="0"/>
                <w:sz w:val="20"/>
                <w:szCs w:val="20"/>
              </w:rPr>
              <w:t>.....</w:t>
            </w:r>
            <w:r>
              <w:rPr>
                <w:rFonts w:hint="eastAsia" w:eastAsia="仿宋_GB2312" w:cs="仿宋_GB2312"/>
                <w:snapToGrid w:val="0"/>
                <w:sz w:val="20"/>
                <w:szCs w:val="20"/>
              </w:rPr>
              <w:t>对民办学校进行执法监督的情况和处罚、处理结果应当予以记录，由执法、监督人员签字后归档，并依法依规公开执法监督结果。</w:t>
            </w:r>
          </w:p>
          <w:p w14:paraId="6A63CEB8">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t>3.</w:t>
            </w:r>
            <w:r>
              <w:rPr>
                <w:rFonts w:hint="eastAsia" w:eastAsia="仿宋_GB2312" w:cs="仿宋_GB2312"/>
                <w:snapToGrid w:val="0"/>
                <w:sz w:val="20"/>
                <w:szCs w:val="20"/>
              </w:rPr>
              <w:t>【法律】《中华人民共和国民办教育促进法》（</w:t>
            </w:r>
            <w:r>
              <w:rPr>
                <w:rFonts w:eastAsia="仿宋_GB2312" w:cs="仿宋_GB2312"/>
                <w:snapToGrid w:val="0"/>
                <w:sz w:val="20"/>
                <w:szCs w:val="20"/>
              </w:rPr>
              <w:t>2002年12月28日通过，2018年12月29日主席令第24号第三次修正）</w:t>
            </w:r>
            <w:r>
              <w:rPr>
                <w:rFonts w:hint="eastAsia" w:eastAsia="仿宋_GB2312" w:cs="仿宋_GB2312"/>
                <w:snapToGrid w:val="0"/>
                <w:sz w:val="20"/>
                <w:szCs w:val="20"/>
              </w:rPr>
              <w:t>第六十二条：民办学校有下列行为之一的，由县级以上人民政府教育行政部门、人力资源社会保障部门或者其他有关部门责令限期整改，并予以警告；有违法所得的，退还所收费用后没收违法所得；情节严重的，责令停止招生、吊销办学许可证；构成犯罪的，依法追究刑事责任。</w:t>
            </w:r>
          </w:p>
          <w:p w14:paraId="6790753D">
            <w:pPr>
              <w:pStyle w:val="2"/>
            </w:pPr>
          </w:p>
        </w:tc>
      </w:tr>
      <w:tr w14:paraId="0C8BDC06">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F13E686">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82</w:t>
            </w:r>
          </w:p>
        </w:tc>
        <w:tc>
          <w:tcPr>
            <w:tcW w:w="585" w:type="dxa"/>
            <w:tcBorders>
              <w:top w:val="single" w:color="auto" w:sz="4" w:space="0"/>
              <w:left w:val="nil"/>
              <w:bottom w:val="single" w:color="auto" w:sz="4" w:space="0"/>
              <w:right w:val="single" w:color="auto" w:sz="4" w:space="0"/>
            </w:tcBorders>
            <w:vAlign w:val="center"/>
          </w:tcPr>
          <w:p w14:paraId="6578D47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1243" w:type="dxa"/>
            <w:tcBorders>
              <w:top w:val="single" w:color="auto" w:sz="4" w:space="0"/>
              <w:left w:val="nil"/>
              <w:bottom w:val="single" w:color="auto" w:sz="4" w:space="0"/>
              <w:right w:val="single" w:color="auto" w:sz="4" w:space="0"/>
            </w:tcBorders>
            <w:vAlign w:val="center"/>
          </w:tcPr>
          <w:p w14:paraId="702C20E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对农民工工资支付情况的监督检查</w:t>
            </w:r>
          </w:p>
        </w:tc>
        <w:tc>
          <w:tcPr>
            <w:tcW w:w="1522" w:type="dxa"/>
            <w:tcBorders>
              <w:top w:val="single" w:color="auto" w:sz="4" w:space="0"/>
              <w:left w:val="nil"/>
              <w:bottom w:val="single" w:color="auto" w:sz="4" w:space="0"/>
              <w:right w:val="single" w:color="auto" w:sz="4" w:space="0"/>
            </w:tcBorders>
            <w:vAlign w:val="center"/>
          </w:tcPr>
          <w:p w14:paraId="0BF38CDC">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1DBC477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46D47E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保障农民工工资支付条例》（2019年12月30日国务院令第724号）第七条：人力资源社会保障行政部门负责保障农民工工资支付工作的组织协调、管理指导和农民工工资支付情况的监督检查，查处有关拖欠农民工工资案件。……</w:t>
            </w:r>
          </w:p>
        </w:tc>
        <w:tc>
          <w:tcPr>
            <w:tcW w:w="4513" w:type="dxa"/>
            <w:tcBorders>
              <w:top w:val="single" w:color="auto" w:sz="4" w:space="0"/>
              <w:left w:val="nil"/>
              <w:bottom w:val="single" w:color="auto" w:sz="4" w:space="0"/>
              <w:right w:val="single" w:color="auto" w:sz="4" w:space="0"/>
            </w:tcBorders>
            <w:vAlign w:val="center"/>
          </w:tcPr>
          <w:p w14:paraId="76EA1C1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14:paraId="6E8A5E68">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14:paraId="50A3750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14:paraId="7785987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6315" w:type="dxa"/>
            <w:tcBorders>
              <w:top w:val="single" w:color="auto" w:sz="4" w:space="0"/>
              <w:left w:val="nil"/>
              <w:bottom w:val="single" w:color="auto" w:sz="4" w:space="0"/>
              <w:right w:val="single" w:color="auto" w:sz="4" w:space="0"/>
            </w:tcBorders>
            <w:vAlign w:val="center"/>
          </w:tcPr>
          <w:p w14:paraId="41F706B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保障农民工工资支付条例》（2019年12月30日国务院令第724号）第三十九条：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14:paraId="6D2AA5C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 1.</w:t>
            </w:r>
          </w:p>
          <w:p w14:paraId="3EBEFEC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14:paraId="4B9BA7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14:paraId="3795FBD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14:paraId="7B552CF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14:paraId="6FB8443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14:paraId="6CD683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r>
      <w:tr w14:paraId="40287B71">
        <w:tblPrEx>
          <w:tblCellMar>
            <w:top w:w="28" w:type="dxa"/>
            <w:left w:w="28" w:type="dxa"/>
            <w:bottom w:w="28" w:type="dxa"/>
            <w:right w:w="28" w:type="dxa"/>
          </w:tblCellMar>
        </w:tblPrEx>
        <w:trPr>
          <w:trHeight w:val="774" w:hRule="atLeast"/>
          <w:jc w:val="center"/>
        </w:trPr>
        <w:tc>
          <w:tcPr>
            <w:tcW w:w="531" w:type="dxa"/>
            <w:vMerge w:val="restart"/>
            <w:tcBorders>
              <w:top w:val="single" w:color="auto" w:sz="4" w:space="0"/>
              <w:left w:val="single" w:color="auto" w:sz="4" w:space="0"/>
              <w:right w:val="single" w:color="auto" w:sz="4" w:space="0"/>
            </w:tcBorders>
            <w:vAlign w:val="center"/>
          </w:tcPr>
          <w:p w14:paraId="106CE8C0">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83</w:t>
            </w:r>
          </w:p>
        </w:tc>
        <w:tc>
          <w:tcPr>
            <w:tcW w:w="585" w:type="dxa"/>
            <w:vMerge w:val="restart"/>
            <w:tcBorders>
              <w:top w:val="single" w:color="auto" w:sz="4" w:space="0"/>
              <w:left w:val="nil"/>
              <w:right w:val="single" w:color="auto" w:sz="4" w:space="0"/>
            </w:tcBorders>
            <w:vAlign w:val="center"/>
          </w:tcPr>
          <w:p w14:paraId="62DD5E3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行政确认</w:t>
            </w:r>
          </w:p>
        </w:tc>
        <w:tc>
          <w:tcPr>
            <w:tcW w:w="1243" w:type="dxa"/>
            <w:vMerge w:val="restart"/>
            <w:tcBorders>
              <w:top w:val="single" w:color="auto" w:sz="4" w:space="0"/>
              <w:left w:val="nil"/>
              <w:right w:val="single" w:color="auto" w:sz="4" w:space="0"/>
            </w:tcBorders>
            <w:vAlign w:val="center"/>
          </w:tcPr>
          <w:p w14:paraId="3A676EA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工伤认定</w:t>
            </w:r>
          </w:p>
        </w:tc>
        <w:tc>
          <w:tcPr>
            <w:tcW w:w="1522" w:type="dxa"/>
            <w:tcBorders>
              <w:top w:val="single" w:color="auto" w:sz="4" w:space="0"/>
              <w:left w:val="nil"/>
              <w:bottom w:val="single" w:color="auto" w:sz="4" w:space="0"/>
              <w:right w:val="single" w:color="auto" w:sz="4" w:space="0"/>
            </w:tcBorders>
            <w:vAlign w:val="center"/>
          </w:tcPr>
          <w:p w14:paraId="43EB720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工伤认定</w:t>
            </w:r>
          </w:p>
        </w:tc>
        <w:tc>
          <w:tcPr>
            <w:tcW w:w="1076" w:type="dxa"/>
            <w:tcBorders>
              <w:top w:val="single" w:color="auto" w:sz="4" w:space="0"/>
              <w:left w:val="nil"/>
              <w:bottom w:val="single" w:color="auto" w:sz="4" w:space="0"/>
              <w:right w:val="single" w:color="auto" w:sz="4" w:space="0"/>
            </w:tcBorders>
            <w:vAlign w:val="center"/>
          </w:tcPr>
          <w:p w14:paraId="5BDD55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0BB04F1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【行政法规】《工伤保险条例》（2003年4月27日国务院令第375号公布，2010年12月20日修订）第五条：国务院社会保险行政部门负责全国的工伤保险工作。</w:t>
            </w:r>
          </w:p>
          <w:p w14:paraId="15140C9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县级以上地方各级人民政府社会保险行政部门负责本行政区域内的工伤保险工作。</w:t>
            </w:r>
          </w:p>
          <w:p w14:paraId="01C9FF5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社会保险行政部门按照国务院有关规定设立的社会保险经办机构（以下称经办机构）具体承办工伤保险事务。</w:t>
            </w:r>
          </w:p>
          <w:p w14:paraId="5B767FA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14:paraId="32C872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14:paraId="3E7F9AC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按照本条第一款规定应当由省级社会保险行政部门进行工伤认定的事项，根据属地原则由用人单位所在地的设区的市级社会保险行政部门办理。……</w:t>
            </w:r>
          </w:p>
        </w:tc>
        <w:tc>
          <w:tcPr>
            <w:tcW w:w="4513" w:type="dxa"/>
            <w:tcBorders>
              <w:top w:val="single" w:color="auto" w:sz="4" w:space="0"/>
              <w:left w:val="nil"/>
              <w:bottom w:val="single" w:color="auto" w:sz="4" w:space="0"/>
              <w:right w:val="single" w:color="auto" w:sz="4" w:space="0"/>
            </w:tcBorders>
            <w:vAlign w:val="center"/>
          </w:tcPr>
          <w:p w14:paraId="46680B0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1.受理阶段责任：对工伤相关材料进行审核，决定受理的，出具《工伤认定申请受理决定书》；决定不予受理的，出具《工伤认定申请不予受理决定书》。</w:t>
            </w:r>
          </w:p>
          <w:p w14:paraId="3036101E">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2.审查阶段责任：按程序核查工伤认定相关材料，出具工伤认定书。</w:t>
            </w:r>
          </w:p>
          <w:p w14:paraId="52BA3AB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3.执行阶段责任：经单位负责人审查后，将确认结果书面告知申请人。</w:t>
            </w:r>
          </w:p>
          <w:p w14:paraId="296B2DB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p w14:paraId="56F890A3">
            <w:pPr>
              <w:widowControl/>
              <w:adjustRightInd w:val="0"/>
              <w:snapToGrid w:val="0"/>
              <w:spacing w:line="300" w:lineRule="exact"/>
              <w:jc w:val="center"/>
              <w:rPr>
                <w:rFonts w:eastAsia="仿宋_GB2312" w:cs="仿宋_GB2312"/>
                <w:snapToGrid w:val="0"/>
                <w:sz w:val="20"/>
                <w:szCs w:val="20"/>
              </w:rPr>
            </w:pPr>
          </w:p>
        </w:tc>
        <w:tc>
          <w:tcPr>
            <w:tcW w:w="6315" w:type="dxa"/>
            <w:tcBorders>
              <w:top w:val="single" w:color="auto" w:sz="4" w:space="0"/>
              <w:left w:val="nil"/>
              <w:bottom w:val="single" w:color="auto" w:sz="4" w:space="0"/>
              <w:right w:val="single" w:color="auto" w:sz="4" w:space="0"/>
            </w:tcBorders>
            <w:vAlign w:val="center"/>
          </w:tcPr>
          <w:p w14:paraId="018E8ADF">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14:paraId="15AD64B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22B972A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3.同1。</w:t>
            </w:r>
          </w:p>
          <w:p w14:paraId="5D52F223">
            <w:pPr>
              <w:widowControl/>
              <w:adjustRightInd w:val="0"/>
              <w:snapToGrid w:val="0"/>
              <w:spacing w:line="300" w:lineRule="exact"/>
              <w:jc w:val="center"/>
              <w:rPr>
                <w:rFonts w:eastAsia="仿宋_GB2312" w:cs="仿宋_GB2312"/>
                <w:snapToGrid w:val="0"/>
                <w:sz w:val="20"/>
                <w:szCs w:val="20"/>
              </w:rPr>
            </w:pPr>
          </w:p>
        </w:tc>
      </w:tr>
      <w:tr w14:paraId="29382B47">
        <w:tblPrEx>
          <w:tblCellMar>
            <w:top w:w="28" w:type="dxa"/>
            <w:left w:w="28" w:type="dxa"/>
            <w:bottom w:w="28" w:type="dxa"/>
            <w:right w:w="28" w:type="dxa"/>
          </w:tblCellMar>
        </w:tblPrEx>
        <w:trPr>
          <w:trHeight w:val="774" w:hRule="atLeast"/>
          <w:jc w:val="center"/>
        </w:trPr>
        <w:tc>
          <w:tcPr>
            <w:tcW w:w="531" w:type="dxa"/>
            <w:vMerge w:val="continue"/>
            <w:tcBorders>
              <w:left w:val="single" w:color="auto" w:sz="4" w:space="0"/>
              <w:bottom w:val="single" w:color="auto" w:sz="4" w:space="0"/>
              <w:right w:val="single" w:color="auto" w:sz="4" w:space="0"/>
            </w:tcBorders>
            <w:vAlign w:val="center"/>
          </w:tcPr>
          <w:p w14:paraId="024B2069">
            <w:pPr>
              <w:widowControl/>
              <w:adjustRightInd w:val="0"/>
              <w:snapToGrid w:val="0"/>
              <w:spacing w:line="300" w:lineRule="exact"/>
              <w:jc w:val="center"/>
              <w:rPr>
                <w:rFonts w:eastAsia="仿宋_GB2312" w:cs="仿宋_GB2312"/>
                <w:snapToGrid w:val="0"/>
                <w:sz w:val="20"/>
                <w:szCs w:val="20"/>
              </w:rPr>
            </w:pPr>
          </w:p>
        </w:tc>
        <w:tc>
          <w:tcPr>
            <w:tcW w:w="585" w:type="dxa"/>
            <w:vMerge w:val="continue"/>
            <w:tcBorders>
              <w:left w:val="nil"/>
              <w:bottom w:val="single" w:color="auto" w:sz="4" w:space="0"/>
              <w:right w:val="single" w:color="auto" w:sz="4" w:space="0"/>
            </w:tcBorders>
            <w:vAlign w:val="center"/>
          </w:tcPr>
          <w:p w14:paraId="0D517292">
            <w:pPr>
              <w:widowControl/>
              <w:adjustRightInd w:val="0"/>
              <w:snapToGrid w:val="0"/>
              <w:spacing w:line="300" w:lineRule="exact"/>
              <w:jc w:val="center"/>
              <w:rPr>
                <w:rFonts w:eastAsia="仿宋_GB2312" w:cs="仿宋_GB2312"/>
                <w:snapToGrid w:val="0"/>
                <w:sz w:val="20"/>
                <w:szCs w:val="20"/>
              </w:rPr>
            </w:pPr>
          </w:p>
        </w:tc>
        <w:tc>
          <w:tcPr>
            <w:tcW w:w="1243" w:type="dxa"/>
            <w:vMerge w:val="continue"/>
            <w:tcBorders>
              <w:left w:val="nil"/>
              <w:bottom w:val="single" w:color="auto" w:sz="4" w:space="0"/>
              <w:right w:val="single" w:color="auto" w:sz="4" w:space="0"/>
            </w:tcBorders>
            <w:vAlign w:val="center"/>
          </w:tcPr>
          <w:p w14:paraId="36531CA9">
            <w:pPr>
              <w:widowControl/>
              <w:adjustRightInd w:val="0"/>
              <w:snapToGrid w:val="0"/>
              <w:spacing w:line="300" w:lineRule="exact"/>
              <w:jc w:val="center"/>
              <w:rPr>
                <w:rFonts w:eastAsia="仿宋_GB2312" w:cs="仿宋_GB2312"/>
                <w:snapToGrid w:val="0"/>
                <w:sz w:val="20"/>
                <w:szCs w:val="20"/>
              </w:rPr>
            </w:pPr>
          </w:p>
        </w:tc>
        <w:tc>
          <w:tcPr>
            <w:tcW w:w="1522" w:type="dxa"/>
            <w:tcBorders>
              <w:top w:val="single" w:color="auto" w:sz="4" w:space="0"/>
              <w:left w:val="nil"/>
              <w:bottom w:val="single" w:color="auto" w:sz="4" w:space="0"/>
              <w:right w:val="single" w:color="auto" w:sz="4" w:space="0"/>
            </w:tcBorders>
            <w:vAlign w:val="center"/>
          </w:tcPr>
          <w:p w14:paraId="2D899C1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同意延长工伤认定申请时限</w:t>
            </w:r>
          </w:p>
        </w:tc>
        <w:tc>
          <w:tcPr>
            <w:tcW w:w="1076" w:type="dxa"/>
            <w:tcBorders>
              <w:top w:val="single" w:color="auto" w:sz="4" w:space="0"/>
              <w:left w:val="nil"/>
              <w:bottom w:val="single" w:color="auto" w:sz="4" w:space="0"/>
              <w:right w:val="single" w:color="auto" w:sz="4" w:space="0"/>
            </w:tcBorders>
            <w:vAlign w:val="center"/>
          </w:tcPr>
          <w:p w14:paraId="1F29990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41DCDA6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十七条第一款：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14:paraId="19A203B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地方性法规】《广西壮族自治区实施〈工伤保险条例〉办法》（广西壮族自治区人民政府令第117号）第十四条第三款：用人单位遇有特殊情况，暂时不能按照规定时限提出工伤认定申请的，经报社会保险行政部门同意，申请时限可以适当延长，但最长不能超过60日。</w:t>
            </w:r>
          </w:p>
        </w:tc>
        <w:tc>
          <w:tcPr>
            <w:tcW w:w="4513" w:type="dxa"/>
            <w:tcBorders>
              <w:top w:val="single" w:color="auto" w:sz="4" w:space="0"/>
              <w:left w:val="nil"/>
              <w:bottom w:val="single" w:color="auto" w:sz="4" w:space="0"/>
              <w:right w:val="single" w:color="auto" w:sz="4" w:space="0"/>
            </w:tcBorders>
            <w:vAlign w:val="center"/>
          </w:tcPr>
          <w:p w14:paraId="709AF04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1.受理阶段责任：对延长工伤认定申请时限相关材料进行审查，依法能够受理的进行受理，不能受理的，对申请人说明理由。</w:t>
            </w:r>
          </w:p>
          <w:p w14:paraId="7B5D3FB6">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2.审查阶段责任：按程序核查延长工伤认定申请时限认定相关材料，出具书面决定。</w:t>
            </w:r>
          </w:p>
          <w:p w14:paraId="3184AF21">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3.执行阶段责任：经单位负责人审查后，将决定结果书面告知申请人。</w:t>
            </w:r>
          </w:p>
          <w:p w14:paraId="328B2CA5">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p w14:paraId="4714E489">
            <w:pPr>
              <w:widowControl/>
              <w:adjustRightInd w:val="0"/>
              <w:snapToGrid w:val="0"/>
              <w:spacing w:line="300" w:lineRule="exact"/>
              <w:jc w:val="center"/>
              <w:rPr>
                <w:rFonts w:eastAsia="仿宋_GB2312" w:cs="仿宋_GB2312"/>
                <w:snapToGrid w:val="0"/>
                <w:sz w:val="20"/>
                <w:szCs w:val="20"/>
              </w:rPr>
            </w:pPr>
          </w:p>
        </w:tc>
        <w:tc>
          <w:tcPr>
            <w:tcW w:w="6315" w:type="dxa"/>
            <w:tcBorders>
              <w:top w:val="single" w:color="auto" w:sz="4" w:space="0"/>
              <w:left w:val="nil"/>
              <w:bottom w:val="single" w:color="auto" w:sz="4" w:space="0"/>
              <w:right w:val="single" w:color="auto" w:sz="4" w:space="0"/>
            </w:tcBorders>
            <w:vAlign w:val="center"/>
          </w:tcPr>
          <w:p w14:paraId="0E11F27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14:paraId="6C57ED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7298BB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3.同1。</w:t>
            </w:r>
          </w:p>
        </w:tc>
      </w:tr>
      <w:tr w14:paraId="18EDE029">
        <w:tblPrEx>
          <w:tblCellMar>
            <w:top w:w="28" w:type="dxa"/>
            <w:left w:w="28" w:type="dxa"/>
            <w:bottom w:w="28" w:type="dxa"/>
            <w:right w:w="28" w:type="dxa"/>
          </w:tblCellMar>
        </w:tblPrEx>
        <w:trPr>
          <w:trHeight w:val="77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389540A">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84</w:t>
            </w:r>
          </w:p>
        </w:tc>
        <w:tc>
          <w:tcPr>
            <w:tcW w:w="585" w:type="dxa"/>
            <w:tcBorders>
              <w:top w:val="single" w:color="auto" w:sz="4" w:space="0"/>
              <w:left w:val="nil"/>
              <w:bottom w:val="single" w:color="auto" w:sz="4" w:space="0"/>
              <w:right w:val="single" w:color="auto" w:sz="4" w:space="0"/>
            </w:tcBorders>
            <w:vAlign w:val="center"/>
          </w:tcPr>
          <w:p w14:paraId="10F5F73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行政奖励</w:t>
            </w:r>
          </w:p>
        </w:tc>
        <w:tc>
          <w:tcPr>
            <w:tcW w:w="1243" w:type="dxa"/>
            <w:tcBorders>
              <w:top w:val="single" w:color="auto" w:sz="4" w:space="0"/>
              <w:left w:val="nil"/>
              <w:bottom w:val="single" w:color="auto" w:sz="4" w:space="0"/>
              <w:right w:val="single" w:color="auto" w:sz="4" w:space="0"/>
            </w:tcBorders>
            <w:vAlign w:val="center"/>
          </w:tcPr>
          <w:p w14:paraId="4F48A4E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对举报违反劳动保障法律、法规或者规章行为有功的组织或者个人的奖励</w:t>
            </w:r>
          </w:p>
        </w:tc>
        <w:tc>
          <w:tcPr>
            <w:tcW w:w="1522" w:type="dxa"/>
            <w:tcBorders>
              <w:top w:val="single" w:color="auto" w:sz="4" w:space="0"/>
              <w:left w:val="nil"/>
              <w:bottom w:val="single" w:color="auto" w:sz="4" w:space="0"/>
              <w:right w:val="single" w:color="auto" w:sz="4" w:space="0"/>
            </w:tcBorders>
            <w:vAlign w:val="center"/>
          </w:tcPr>
          <w:p w14:paraId="1AAFE69F">
            <w:pPr>
              <w:widowControl/>
              <w:adjustRightInd w:val="0"/>
              <w:snapToGrid w:val="0"/>
              <w:spacing w:line="300" w:lineRule="exact"/>
              <w:jc w:val="center"/>
              <w:rPr>
                <w:rFonts w:eastAsia="仿宋_GB2312" w:cs="仿宋_GB2312"/>
                <w:snapToGrid w:val="0"/>
                <w:sz w:val="20"/>
                <w:szCs w:val="20"/>
              </w:rPr>
            </w:pPr>
          </w:p>
        </w:tc>
        <w:tc>
          <w:tcPr>
            <w:tcW w:w="1076" w:type="dxa"/>
            <w:tcBorders>
              <w:top w:val="single" w:color="auto" w:sz="4" w:space="0"/>
              <w:left w:val="nil"/>
              <w:bottom w:val="single" w:color="auto" w:sz="4" w:space="0"/>
              <w:right w:val="single" w:color="auto" w:sz="4" w:space="0"/>
            </w:tcBorders>
            <w:vAlign w:val="center"/>
          </w:tcPr>
          <w:p w14:paraId="77610784">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设区市、县级</w:t>
            </w:r>
          </w:p>
        </w:tc>
        <w:tc>
          <w:tcPr>
            <w:tcW w:w="6101" w:type="dxa"/>
            <w:tcBorders>
              <w:top w:val="single" w:color="auto" w:sz="4" w:space="0"/>
              <w:left w:val="nil"/>
              <w:bottom w:val="single" w:color="auto" w:sz="4" w:space="0"/>
              <w:right w:val="single" w:color="auto" w:sz="4" w:space="0"/>
            </w:tcBorders>
            <w:vAlign w:val="center"/>
          </w:tcPr>
          <w:p w14:paraId="27A1D5A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九条：任何组织或者个人对违反本法的行为都有权举报，县级以上人民政府劳动行政部门应当及时核实、处理，并对举报有功人员给予奖励。</w:t>
            </w:r>
          </w:p>
          <w:p w14:paraId="4FDF940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2.【行政法规】《劳动保障监察条例》（2004年国务院令第423号）第九条：任何组织或者个人对违反劳动保障法律、法规或者规章的行为，有权向劳动保障行政部门举报。</w:t>
            </w:r>
          </w:p>
          <w:p w14:paraId="2B776CAC">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劳动者认为用人单位侵犯其劳动保障合法权益的，有权向劳动保障行政部门投诉。</w:t>
            </w:r>
          </w:p>
          <w:p w14:paraId="27EBCDC3">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劳动保障行政部门应当为举报人保密；对举报属实，为查处重大违反劳动保障法律、法规或者规章的行为提供主要线索和证据的举报人，给予奖励。</w:t>
            </w:r>
          </w:p>
          <w:p w14:paraId="60E8BC60">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部门规章】《关于实施〈劳动保障监察条例〉若干规定》（2004年劳动保障部令第25号）第十一条：劳动保障行政部门对举报人反映的违反劳动保障法律的行为应当依法予以查处，并为举报人保密；对举报属实，为查处重大违反劳动保障法律的行为提供主要线索和证据的举报人，给予奖励。</w:t>
            </w:r>
          </w:p>
        </w:tc>
        <w:tc>
          <w:tcPr>
            <w:tcW w:w="4513" w:type="dxa"/>
            <w:tcBorders>
              <w:top w:val="single" w:color="auto" w:sz="4" w:space="0"/>
              <w:left w:val="nil"/>
              <w:bottom w:val="single" w:color="auto" w:sz="4" w:space="0"/>
              <w:right w:val="single" w:color="auto" w:sz="4" w:space="0"/>
            </w:tcBorders>
            <w:vAlign w:val="center"/>
          </w:tcPr>
          <w:p w14:paraId="7AB43732">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1.前期阶段责任：收集整理对举报违反劳动保障法律、法规或者规章行为有功的组织或者个人相关材料，及时呈报处理。</w:t>
            </w:r>
          </w:p>
          <w:p w14:paraId="6DD56B7D">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2.审查阶段责任：审查材料的真伪及作用，提出审查意见。</w:t>
            </w:r>
          </w:p>
          <w:p w14:paraId="0D6E094A">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3.决定阶段责任：决定是否对举报违反劳动保障法律、法规或者规章行为有功工作中做出显著成绩的组织或者个人的奖励标准和方式。</w:t>
            </w:r>
          </w:p>
          <w:p w14:paraId="411F35D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4.执行阶段责任：兑现奖励。</w:t>
            </w:r>
          </w:p>
          <w:p w14:paraId="6FF5AF8B">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5.法律法规规章文件规定的其他应履行的责任。</w:t>
            </w:r>
          </w:p>
          <w:p w14:paraId="37844CAD">
            <w:pPr>
              <w:widowControl/>
              <w:adjustRightInd w:val="0"/>
              <w:snapToGrid w:val="0"/>
              <w:spacing w:line="300" w:lineRule="exact"/>
              <w:jc w:val="center"/>
              <w:rPr>
                <w:rFonts w:eastAsia="仿宋_GB2312" w:cs="仿宋_GB2312"/>
                <w:snapToGrid w:val="0"/>
                <w:sz w:val="20"/>
                <w:szCs w:val="20"/>
              </w:rPr>
            </w:pPr>
          </w:p>
        </w:tc>
        <w:tc>
          <w:tcPr>
            <w:tcW w:w="6315" w:type="dxa"/>
            <w:tcBorders>
              <w:top w:val="single" w:color="auto" w:sz="4" w:space="0"/>
              <w:left w:val="nil"/>
              <w:bottom w:val="single" w:color="auto" w:sz="4" w:space="0"/>
              <w:right w:val="single" w:color="auto" w:sz="4" w:space="0"/>
            </w:tcBorders>
            <w:vAlign w:val="center"/>
          </w:tcPr>
          <w:p w14:paraId="0FC3ABF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九条：任何组织或者个人对违反本法的行为都有权举报，县级以上人民政府劳动行政部门应当及时核实、处理，并对举报有功人员给予奖励。</w:t>
            </w:r>
          </w:p>
          <w:p w14:paraId="08E4405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2.同1。</w:t>
            </w:r>
          </w:p>
          <w:p w14:paraId="753F69D9">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3.同1。</w:t>
            </w:r>
          </w:p>
          <w:p w14:paraId="1ED34687">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4.同1。</w:t>
            </w:r>
          </w:p>
        </w:tc>
      </w:tr>
    </w:tbl>
    <w:p w14:paraId="2E56610F">
      <w:pPr>
        <w:widowControl/>
        <w:adjustRightInd w:val="0"/>
        <w:snapToGrid w:val="0"/>
        <w:spacing w:line="300" w:lineRule="exact"/>
        <w:jc w:val="center"/>
        <w:rPr>
          <w:rFonts w:eastAsia="仿宋_GB2312" w:cs="仿宋_GB2312"/>
          <w:snapToGrid w:val="0"/>
          <w:sz w:val="20"/>
          <w:szCs w:val="20"/>
        </w:rPr>
      </w:pPr>
      <w:r>
        <w:rPr>
          <w:rFonts w:eastAsia="仿宋_GB2312" w:cs="仿宋_GB2312"/>
          <w:snapToGrid w:val="0"/>
          <w:sz w:val="20"/>
          <w:szCs w:val="20"/>
        </w:rPr>
        <w:br w:type="textWrapping" w:clear="all"/>
      </w:r>
    </w:p>
    <w:sectPr>
      <w:headerReference r:id="rId5" w:type="default"/>
      <w:footerReference r:id="rId6" w:type="default"/>
      <w:footerReference r:id="rId7" w:type="even"/>
      <w:pgSz w:w="23814" w:h="16840" w:orient="landscape"/>
      <w:pgMar w:top="1418" w:right="1418" w:bottom="1418" w:left="1418" w:header="851" w:footer="1077"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FAC7">
    <w:pPr>
      <w:pStyle w:val="7"/>
      <w:jc w:val="center"/>
      <w:rPr>
        <w:sz w:val="32"/>
        <w:szCs w:val="32"/>
      </w:rPr>
    </w:pPr>
    <w:r>
      <w:rPr>
        <w:rFonts w:hint="eastAsia"/>
        <w:sz w:val="32"/>
        <w:szCs w:val="32"/>
      </w:rPr>
      <w:t>—</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45</w:t>
    </w:r>
    <w:r>
      <w:rPr>
        <w:sz w:val="32"/>
        <w:szCs w:val="32"/>
      </w:rPr>
      <w:fldChar w:fldCharType="end"/>
    </w:r>
    <w:r>
      <w:rPr>
        <w:rFonts w:hint="eastAsia"/>
        <w:sz w:val="32"/>
        <w:szCs w:val="32"/>
      </w:rPr>
      <w:t>—</w:t>
    </w:r>
  </w:p>
  <w:p w14:paraId="26BBC32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908A">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fldChar w:fldCharType="end"/>
    </w:r>
  </w:p>
  <w:p w14:paraId="3E7EA6D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767D">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4A6C7266">
                <w:r>
                  <w:t>ImpTraceLabel=PD94bWwgdmVyc2lvbj0nMS4wJyBlbmNvZGluZz0nVVRGLTgnPz48dHJhY2U+PGNvbnRlbnQ+PC9jb250ZW50PjxhY2NvdW50PmJsa2cxOGd4MHp0Z2M2bWZoNmo0d2E8L2FjY291bnQ+PG1hY2hpbmVDb2RlPk5NWlRMMUJOMlNBTjE1NjI5CjwvbWFjaGluZUNvZGU+PHRpbWU+MjAyNC0xMS0yOSAxMDowNjo0NTwvdGltZT48c3lzdGVtPk1CPHN5c3RlbT48L3RyYWNlPg==</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13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0"/>
    <w:pPr>
      <w:spacing w:before="240" w:after="60"/>
      <w:jc w:val="center"/>
      <w:outlineLvl w:val="0"/>
    </w:pPr>
    <w:rPr>
      <w:rFonts w:ascii="Arial" w:hAnsi="Arial"/>
      <w:b/>
    </w:rPr>
  </w:style>
  <w:style w:type="paragraph" w:styleId="4">
    <w:name w:val="Body Text Indent"/>
    <w:basedOn w:val="1"/>
    <w:qFormat/>
    <w:uiPriority w:val="0"/>
    <w:pPr>
      <w:spacing w:line="360" w:lineRule="auto"/>
      <w:ind w:firstLine="200" w:firstLineChars="200"/>
    </w:pPr>
    <w:rPr>
      <w:rFonts w:ascii="仿宋_GB2312" w:eastAsia="仿宋_GB2312"/>
      <w:kern w:val="0"/>
      <w:sz w:val="30"/>
      <w:szCs w:val="30"/>
    </w:rPr>
  </w:style>
  <w:style w:type="paragraph" w:styleId="5">
    <w:name w:val="Plain Text"/>
    <w:basedOn w:val="1"/>
    <w:link w:val="19"/>
    <w:unhideWhenUsed/>
    <w:qFormat/>
    <w:uiPriority w:val="99"/>
    <w:rPr>
      <w:rFonts w:ascii="宋体" w:hAnsi="Courier New" w:cs="Courier New"/>
      <w:szCs w:val="21"/>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customStyle="1" w:styleId="16">
    <w:name w:val="页眉 Char"/>
    <w:basedOn w:val="12"/>
    <w:link w:val="8"/>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批注框文本 Char"/>
    <w:basedOn w:val="12"/>
    <w:link w:val="6"/>
    <w:qFormat/>
    <w:uiPriority w:val="0"/>
    <w:rPr>
      <w:kern w:val="2"/>
      <w:sz w:val="18"/>
      <w:szCs w:val="18"/>
    </w:rPr>
  </w:style>
  <w:style w:type="character" w:customStyle="1" w:styleId="19">
    <w:name w:val="纯文本 Char"/>
    <w:basedOn w:val="12"/>
    <w:link w:val="5"/>
    <w:qFormat/>
    <w:uiPriority w:val="99"/>
    <w:rPr>
      <w:rFonts w:ascii="宋体" w:hAnsi="Courier New" w:cs="Courier New"/>
      <w:kern w:val="2"/>
      <w:sz w:val="21"/>
      <w:szCs w:val="21"/>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45533</Words>
  <Characters>47665</Characters>
  <Lines>1233</Lines>
  <Paragraphs>347</Paragraphs>
  <TotalTime>4</TotalTime>
  <ScaleCrop>false</ScaleCrop>
  <LinksUpToDate>false</LinksUpToDate>
  <CharactersWithSpaces>47690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2023-05-06T16:44:00Z</dcterms:created>
  <dc:creator>行政和事业管理体制改革处-吴雪</dc:creator>
  <cp:lastModifiedBy>嵐發發</cp:lastModifiedBy>
  <cp:lastPrinted>2022-07-21T20:01:00Z</cp:lastPrinted>
  <dcterms:modified xsi:type="dcterms:W3CDTF">2025-02-11T08:32:13Z</dcterms:modified>
  <dc:title>附件1</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eyJoZGlkIjoiODcwMzAwNDY0MmU4MTc1YWMyZGFmNmY3YjY4MTU3ZWYiLCJ1c2VySWQiOiI0NjIyNDU0MzEifQ==</vt:lpwstr>
  </property>
  <property fmtid="{D5CDD505-2E9C-101B-9397-08002B2CF9AE}" pid="4" name="ICV">
    <vt:lpwstr>3B290B080E4B4200850D3BC39768D5BE_12</vt:lpwstr>
  </property>
</Properties>
</file>